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Default="003D69B8" w:rsidP="002A574A">
      <w:pPr>
        <w:spacing w:before="100" w:beforeAutospacing="1" w:after="100" w:afterAutospacing="1" w:line="240" w:lineRule="auto"/>
        <w:rPr>
          <w:rFonts w:ascii="Times New Roman" w:eastAsia="Times New Roman" w:hAnsi="Times New Roman" w:cs="Times New Roman"/>
          <w:b/>
          <w:bCs/>
          <w:sz w:val="24"/>
          <w:szCs w:val="24"/>
        </w:rPr>
      </w:pPr>
    </w:p>
    <w:p w:rsidR="003D69B8" w:rsidRPr="00E5293E" w:rsidRDefault="003D69B8" w:rsidP="003D69B8">
      <w:pPr>
        <w:spacing w:line="360" w:lineRule="auto"/>
        <w:jc w:val="center"/>
        <w:rPr>
          <w:rFonts w:asciiTheme="majorBidi" w:hAnsiTheme="majorBidi" w:cstheme="majorBidi"/>
          <w:sz w:val="24"/>
          <w:szCs w:val="24"/>
        </w:rPr>
      </w:pPr>
      <w:r w:rsidRPr="00E5293E">
        <w:rPr>
          <w:rFonts w:asciiTheme="majorBidi" w:hAnsiTheme="majorBidi" w:cstheme="majorBidi"/>
          <w:sz w:val="24"/>
          <w:szCs w:val="24"/>
        </w:rPr>
        <w:t>Diploma In Law</w:t>
      </w:r>
      <w:r>
        <w:rPr>
          <w:rFonts w:asciiTheme="majorBidi" w:hAnsiTheme="majorBidi" w:cstheme="majorBidi"/>
          <w:sz w:val="24"/>
          <w:szCs w:val="24"/>
        </w:rPr>
        <w:t xml:space="preserve"> -Task 2</w:t>
      </w:r>
    </w:p>
    <w:p w:rsidR="003D69B8" w:rsidRPr="00E5293E" w:rsidRDefault="003D69B8" w:rsidP="003D69B8">
      <w:pPr>
        <w:spacing w:line="360" w:lineRule="auto"/>
        <w:jc w:val="center"/>
        <w:rPr>
          <w:rFonts w:asciiTheme="majorBidi" w:hAnsiTheme="majorBidi" w:cstheme="majorBidi"/>
          <w:sz w:val="24"/>
          <w:szCs w:val="24"/>
        </w:rPr>
      </w:pPr>
      <w:r w:rsidRPr="00E5293E">
        <w:rPr>
          <w:rFonts w:asciiTheme="majorBidi" w:hAnsiTheme="majorBidi" w:cstheme="majorBidi"/>
          <w:sz w:val="24"/>
          <w:szCs w:val="24"/>
        </w:rPr>
        <w:t>[Name of Student]</w:t>
      </w:r>
    </w:p>
    <w:p w:rsidR="003D69B8" w:rsidRPr="00E5293E" w:rsidRDefault="003D69B8" w:rsidP="003D69B8">
      <w:pPr>
        <w:spacing w:line="360" w:lineRule="auto"/>
        <w:jc w:val="center"/>
        <w:rPr>
          <w:rFonts w:asciiTheme="majorBidi" w:hAnsiTheme="majorBidi" w:cstheme="majorBidi"/>
          <w:sz w:val="24"/>
          <w:szCs w:val="24"/>
        </w:rPr>
      </w:pPr>
      <w:r w:rsidRPr="00E5293E">
        <w:rPr>
          <w:rFonts w:asciiTheme="majorBidi" w:hAnsiTheme="majorBidi" w:cstheme="majorBidi"/>
          <w:sz w:val="24"/>
          <w:szCs w:val="24"/>
        </w:rPr>
        <w:t>[Name of Institute]</w:t>
      </w:r>
    </w:p>
    <w:p w:rsidR="003D69B8" w:rsidRPr="00E5293E" w:rsidRDefault="003D69B8" w:rsidP="003D69B8">
      <w:pPr>
        <w:spacing w:line="360" w:lineRule="auto"/>
        <w:jc w:val="center"/>
        <w:rPr>
          <w:rFonts w:asciiTheme="majorBidi" w:hAnsiTheme="majorBidi" w:cstheme="majorBidi"/>
          <w:sz w:val="24"/>
          <w:szCs w:val="24"/>
        </w:rPr>
      </w:pPr>
      <w:r w:rsidRPr="00E5293E">
        <w:rPr>
          <w:rFonts w:asciiTheme="majorBidi" w:hAnsiTheme="majorBidi" w:cstheme="majorBidi"/>
          <w:sz w:val="24"/>
          <w:szCs w:val="24"/>
        </w:rPr>
        <w:t>[Date]</w:t>
      </w:r>
    </w:p>
    <w:p w:rsidR="003D69B8" w:rsidRDefault="003D69B8">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2A574A" w:rsidRPr="00321609" w:rsidRDefault="003D69B8" w:rsidP="00CD5709">
      <w:pPr>
        <w:spacing w:before="100" w:beforeAutospacing="1" w:after="100" w:afterAutospacing="1" w:line="360" w:lineRule="auto"/>
        <w:rPr>
          <w:rFonts w:ascii="Times New Roman" w:eastAsia="Times New Roman" w:hAnsi="Times New Roman" w:cs="Times New Roman"/>
          <w:sz w:val="24"/>
          <w:szCs w:val="24"/>
        </w:rPr>
      </w:pPr>
      <w:r w:rsidRPr="00321609">
        <w:rPr>
          <w:rFonts w:ascii="Times New Roman" w:eastAsia="Times New Roman" w:hAnsi="Times New Roman" w:cs="Times New Roman"/>
          <w:b/>
          <w:bCs/>
          <w:sz w:val="24"/>
          <w:szCs w:val="24"/>
        </w:rPr>
        <w:lastRenderedPageBreak/>
        <w:t>Introduction</w:t>
      </w:r>
      <w:bookmarkStart w:id="0" w:name="_GoBack"/>
      <w:bookmarkEnd w:id="0"/>
    </w:p>
    <w:p w:rsidR="002A574A" w:rsidRPr="00321609" w:rsidRDefault="003D69B8" w:rsidP="00CD5709">
      <w:p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The case study concerns legal issues such as rights and easements, covenants, and adverse possession. They are fundamental to property law, where land use and ownership control are evident</w:t>
      </w:r>
      <w:r w:rsidR="00070A87" w:rsidRPr="00321609">
        <w:rPr>
          <w:rFonts w:ascii="Times New Roman" w:eastAsia="Times New Roman" w:hAnsi="Times New Roman" w:cs="Times New Roman"/>
          <w:sz w:val="24"/>
          <w:szCs w:val="24"/>
        </w:rPr>
        <w:t xml:space="preserve"> </w:t>
      </w:r>
      <w:r w:rsidR="00070A87" w:rsidRPr="00321609">
        <w:rPr>
          <w:rFonts w:ascii="Arial" w:hAnsi="Arial" w:cs="Arial"/>
          <w:color w:val="222222"/>
          <w:sz w:val="20"/>
          <w:szCs w:val="20"/>
          <w:shd w:val="clear" w:color="auto" w:fill="FFFFFF"/>
        </w:rPr>
        <w:t>(Barnard and Woodburn, 2024)</w:t>
      </w:r>
      <w:r w:rsidRPr="00321609">
        <w:rPr>
          <w:rFonts w:ascii="Times New Roman" w:eastAsia="Times New Roman" w:hAnsi="Times New Roman" w:cs="Times New Roman"/>
          <w:sz w:val="24"/>
          <w:szCs w:val="24"/>
        </w:rPr>
        <w:t xml:space="preserve">. In this case, Saskia, the registered freehold owner of several properties, has been dealing with Naseem, Terrence and Tina. Its legal questions are whether Naseem has an easement to park on land outside his cottage, whether Terrence can claim adverse possession of the land he occupies, and whether the covenant on West Field is enforceable. This analysis will discuss </w:t>
      </w:r>
      <w:proofErr w:type="gramStart"/>
      <w:r w:rsidRPr="00321609">
        <w:rPr>
          <w:rFonts w:ascii="Times New Roman" w:eastAsia="Times New Roman" w:hAnsi="Times New Roman" w:cs="Times New Roman"/>
          <w:sz w:val="24"/>
          <w:szCs w:val="24"/>
        </w:rPr>
        <w:t>The</w:t>
      </w:r>
      <w:proofErr w:type="gramEnd"/>
      <w:r w:rsidRPr="00321609">
        <w:rPr>
          <w:rFonts w:ascii="Times New Roman" w:eastAsia="Times New Roman" w:hAnsi="Times New Roman" w:cs="Times New Roman"/>
          <w:sz w:val="24"/>
          <w:szCs w:val="24"/>
        </w:rPr>
        <w:t xml:space="preserve"> relevant legal principles in the case law.</w:t>
      </w:r>
    </w:p>
    <w:p w:rsidR="002A574A" w:rsidRPr="00321609" w:rsidRDefault="003D69B8" w:rsidP="00CD5709">
      <w:pPr>
        <w:spacing w:before="100" w:beforeAutospacing="1" w:after="100" w:afterAutospacing="1" w:line="360" w:lineRule="auto"/>
        <w:rPr>
          <w:rFonts w:ascii="Times New Roman" w:eastAsia="Times New Roman" w:hAnsi="Times New Roman" w:cs="Times New Roman"/>
          <w:sz w:val="24"/>
          <w:szCs w:val="24"/>
        </w:rPr>
      </w:pPr>
      <w:r w:rsidRPr="00321609">
        <w:rPr>
          <w:rFonts w:ascii="Times New Roman" w:eastAsia="Times New Roman" w:hAnsi="Times New Roman" w:cs="Times New Roman"/>
          <w:b/>
          <w:bCs/>
          <w:sz w:val="24"/>
          <w:szCs w:val="24"/>
        </w:rPr>
        <w:t>1. Naseem’s Right to Park on the Land Outside the Cottage Garden</w:t>
      </w:r>
    </w:p>
    <w:p w:rsidR="002A574A" w:rsidRPr="00321609" w:rsidRDefault="003D69B8" w:rsidP="00CD5709">
      <w:pPr>
        <w:spacing w:before="100" w:beforeAutospacing="1" w:after="100" w:afterAutospacing="1" w:line="360" w:lineRule="auto"/>
        <w:rPr>
          <w:rFonts w:ascii="Times New Roman" w:eastAsia="Times New Roman" w:hAnsi="Times New Roman" w:cs="Times New Roman"/>
          <w:sz w:val="24"/>
          <w:szCs w:val="24"/>
        </w:rPr>
      </w:pPr>
      <w:r w:rsidRPr="00321609">
        <w:rPr>
          <w:rFonts w:ascii="Times New Roman" w:eastAsia="Times New Roman" w:hAnsi="Times New Roman" w:cs="Times New Roman"/>
          <w:b/>
          <w:bCs/>
          <w:sz w:val="24"/>
          <w:szCs w:val="24"/>
        </w:rPr>
        <w:t xml:space="preserve">1.1 </w:t>
      </w:r>
      <w:r w:rsidR="00590115" w:rsidRPr="00590115">
        <w:rPr>
          <w:rFonts w:ascii="Times New Roman" w:eastAsia="Times New Roman" w:hAnsi="Times New Roman" w:cs="Times New Roman"/>
          <w:b/>
          <w:bCs/>
          <w:sz w:val="24"/>
          <w:szCs w:val="24"/>
        </w:rPr>
        <w:t>Explain the rules for creation and acquisition of legal and equitable easements. (AC3.1)</w:t>
      </w:r>
    </w:p>
    <w:p w:rsidR="00B649D5" w:rsidRPr="00321609" w:rsidRDefault="003D69B8" w:rsidP="00CD5709">
      <w:p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An easement is a right by which one landowner grants another the right to use the former's land for a particular purpose. The right must satisfy specific criteria to qualify as an easement, Easnborough Park [1956] 1 Ch 131. These criteria include:</w:t>
      </w:r>
    </w:p>
    <w:p w:rsidR="00B649D5" w:rsidRPr="00321609" w:rsidRDefault="003D69B8" w:rsidP="00CD5709">
      <w:pPr>
        <w:pStyle w:val="ListParagraph"/>
        <w:numPr>
          <w:ilvl w:val="0"/>
          <w:numId w:val="11"/>
        </w:num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An easement can only exist where there is a dominant tenement (the land that benefits from the easement) and a servient tenement (the land that is subjected to the easement).</w:t>
      </w:r>
    </w:p>
    <w:p w:rsidR="00B649D5" w:rsidRPr="00321609" w:rsidRDefault="003D69B8" w:rsidP="00CD5709">
      <w:pPr>
        <w:pStyle w:val="ListParagraph"/>
        <w:numPr>
          <w:ilvl w:val="0"/>
          <w:numId w:val="11"/>
        </w:num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In other words, the easement must allow for the existing dominant tenement</w:t>
      </w:r>
      <w:r w:rsidR="00070A87" w:rsidRPr="00321609">
        <w:rPr>
          <w:rFonts w:ascii="Times New Roman" w:eastAsia="Times New Roman" w:hAnsi="Times New Roman" w:cs="Times New Roman"/>
          <w:sz w:val="24"/>
          <w:szCs w:val="24"/>
        </w:rPr>
        <w:t xml:space="preserve"> </w:t>
      </w:r>
      <w:r w:rsidR="00070A87" w:rsidRPr="00321609">
        <w:rPr>
          <w:rFonts w:ascii="Arial" w:hAnsi="Arial" w:cs="Arial"/>
          <w:color w:val="222222"/>
          <w:sz w:val="20"/>
          <w:szCs w:val="20"/>
          <w:shd w:val="clear" w:color="auto" w:fill="FFFFFF"/>
        </w:rPr>
        <w:t>(Nair, 2023)</w:t>
      </w:r>
      <w:r w:rsidRPr="00321609">
        <w:rPr>
          <w:rFonts w:ascii="Times New Roman" w:eastAsia="Times New Roman" w:hAnsi="Times New Roman" w:cs="Times New Roman"/>
          <w:sz w:val="24"/>
          <w:szCs w:val="24"/>
        </w:rPr>
        <w:t>.</w:t>
      </w:r>
    </w:p>
    <w:p w:rsidR="00B649D5" w:rsidRPr="00321609" w:rsidRDefault="003D69B8" w:rsidP="00CD5709">
      <w:pPr>
        <w:pStyle w:val="ListParagraph"/>
        <w:numPr>
          <w:ilvl w:val="0"/>
          <w:numId w:val="11"/>
        </w:num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If a right is to be capable of being the subject of a grant, it must be a right.</w:t>
      </w:r>
    </w:p>
    <w:p w:rsidR="00B649D5" w:rsidRPr="00321609" w:rsidRDefault="003D69B8" w:rsidP="00CD5709">
      <w:pPr>
        <w:pStyle w:val="ListParagraph"/>
        <w:numPr>
          <w:ilvl w:val="0"/>
          <w:numId w:val="11"/>
        </w:num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The right should not be too vague and uncertain.</w:t>
      </w:r>
    </w:p>
    <w:p w:rsidR="00B649D5" w:rsidRPr="00321609" w:rsidRDefault="003D69B8" w:rsidP="00CD5709">
      <w:p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In Mann v. In Brodie [1997] 2 EGLR 85, the court considered to what extent a license to park was an easement</w:t>
      </w:r>
      <w:r w:rsidR="00070A87" w:rsidRPr="00321609">
        <w:rPr>
          <w:rFonts w:ascii="Times New Roman" w:eastAsia="Times New Roman" w:hAnsi="Times New Roman" w:cs="Times New Roman"/>
          <w:sz w:val="24"/>
          <w:szCs w:val="24"/>
        </w:rPr>
        <w:t xml:space="preserve"> </w:t>
      </w:r>
      <w:r w:rsidR="00070A87" w:rsidRPr="00321609">
        <w:rPr>
          <w:color w:val="000000"/>
          <w:shd w:val="clear" w:color="auto" w:fill="FFFFFF"/>
        </w:rPr>
        <w:t>(Property Law, n.d.)</w:t>
      </w:r>
      <w:r w:rsidRPr="00321609">
        <w:rPr>
          <w:rFonts w:ascii="Times New Roman" w:eastAsia="Times New Roman" w:hAnsi="Times New Roman" w:cs="Times New Roman"/>
          <w:sz w:val="24"/>
          <w:szCs w:val="24"/>
        </w:rPr>
        <w:t xml:space="preserve">. On the other hand, in this case, the court ruled that parking is more likely to be a license rather than an easement if it is temporary and can be revoked. If the parking permission were granted as a revocable (i.e. revocable) licence and not as a permanent right, the reasoning would equally be applied sideways to Naseem's situation. Naseem's parking situation will likely </w:t>
      </w:r>
      <w:r w:rsidR="00070A87" w:rsidRPr="00321609">
        <w:rPr>
          <w:rFonts w:ascii="Times New Roman" w:eastAsia="Times New Roman" w:hAnsi="Times New Roman" w:cs="Times New Roman"/>
          <w:sz w:val="24"/>
          <w:szCs w:val="24"/>
        </w:rPr>
        <w:t>not</w:t>
      </w:r>
      <w:r w:rsidRPr="00321609">
        <w:rPr>
          <w:rFonts w:ascii="Times New Roman" w:eastAsia="Times New Roman" w:hAnsi="Times New Roman" w:cs="Times New Roman"/>
          <w:sz w:val="24"/>
          <w:szCs w:val="24"/>
        </w:rPr>
        <w:t xml:space="preserve"> stick because nothing formal or long-term is going on.</w:t>
      </w:r>
    </w:p>
    <w:p w:rsidR="002A574A" w:rsidRPr="00321609" w:rsidRDefault="003D69B8" w:rsidP="00CD5709">
      <w:pPr>
        <w:spacing w:before="100" w:beforeAutospacing="1" w:after="100" w:afterAutospacing="1" w:line="360" w:lineRule="auto"/>
        <w:rPr>
          <w:rFonts w:ascii="Times New Roman" w:eastAsia="Times New Roman" w:hAnsi="Times New Roman" w:cs="Times New Roman"/>
          <w:sz w:val="24"/>
          <w:szCs w:val="24"/>
        </w:rPr>
      </w:pPr>
      <w:bookmarkStart w:id="1" w:name="_Hlk189315303"/>
      <w:r w:rsidRPr="00321609">
        <w:rPr>
          <w:rFonts w:ascii="Times New Roman" w:eastAsia="Times New Roman" w:hAnsi="Times New Roman" w:cs="Times New Roman"/>
          <w:b/>
          <w:bCs/>
          <w:sz w:val="24"/>
          <w:szCs w:val="24"/>
        </w:rPr>
        <w:t xml:space="preserve">1.2 </w:t>
      </w:r>
      <w:r w:rsidR="00590115" w:rsidRPr="00590115">
        <w:rPr>
          <w:rFonts w:ascii="Times New Roman" w:eastAsia="Times New Roman" w:hAnsi="Times New Roman" w:cs="Times New Roman"/>
          <w:b/>
          <w:bCs/>
          <w:sz w:val="24"/>
          <w:szCs w:val="24"/>
        </w:rPr>
        <w:t>Distinguish between negative and positive easements. (AC3.2)</w:t>
      </w:r>
    </w:p>
    <w:p w:rsidR="00942AD0" w:rsidRDefault="00942AD0" w:rsidP="00CD5709">
      <w:pPr>
        <w:spacing w:before="100" w:beforeAutospacing="1" w:after="100" w:afterAutospacing="1" w:line="360" w:lineRule="auto"/>
        <w:jc w:val="both"/>
        <w:rPr>
          <w:rFonts w:ascii="Times New Roman" w:eastAsia="Times New Roman" w:hAnsi="Times New Roman" w:cs="Times New Roman"/>
          <w:sz w:val="24"/>
          <w:szCs w:val="24"/>
        </w:rPr>
      </w:pPr>
      <w:r w:rsidRPr="00942AD0">
        <w:rPr>
          <w:rFonts w:ascii="Times New Roman" w:eastAsia="Times New Roman" w:hAnsi="Times New Roman" w:cs="Times New Roman"/>
          <w:sz w:val="24"/>
          <w:szCs w:val="24"/>
          <w:highlight w:val="yellow"/>
        </w:rPr>
        <w:lastRenderedPageBreak/>
        <w:t xml:space="preserve">The easement is a </w:t>
      </w:r>
      <w:r w:rsidR="00E946A0" w:rsidRPr="00942AD0">
        <w:rPr>
          <w:rFonts w:ascii="Times New Roman" w:eastAsia="Times New Roman" w:hAnsi="Times New Roman" w:cs="Times New Roman"/>
          <w:sz w:val="24"/>
          <w:szCs w:val="24"/>
          <w:highlight w:val="yellow"/>
        </w:rPr>
        <w:t>non-possessory</w:t>
      </w:r>
      <w:r w:rsidRPr="00942AD0">
        <w:rPr>
          <w:rFonts w:ascii="Times New Roman" w:eastAsia="Times New Roman" w:hAnsi="Times New Roman" w:cs="Times New Roman"/>
          <w:sz w:val="24"/>
          <w:szCs w:val="24"/>
          <w:highlight w:val="yellow"/>
        </w:rPr>
        <w:t xml:space="preserve"> right as it authorizes the owner of the dominant tenement to employ the servient tenement in some fashion. There are two types of easements, namely, positive, and negative easements. A dominant tenement is granted a positive easement which allows the dominant tenant to perform an action in servient land. Such as for example, rights of way, the right to park the servient tenement's vehicle or the right to run utilities over the servient tenement. A negative easement is one which restricts the use of the land which the servient tenement owner can make of his land so as to interfere with the enjoyment of the dominant tenement’s rights. One good example is a negative easement that known today as the right to light: the servient landowner is not allowed to erect something that prevent light from the dominant tenement. Its classical example is the easement of Hunter v. Canary Wharf Ltd [1997] AC 655. Negative easements are more restrictive in that they limit the use of the servient land as opposed to greater use.</w:t>
      </w:r>
    </w:p>
    <w:p w:rsidR="002A574A" w:rsidRPr="00321609" w:rsidRDefault="003D69B8" w:rsidP="00CD5709">
      <w:pPr>
        <w:spacing w:before="100" w:beforeAutospacing="1" w:after="100" w:afterAutospacing="1" w:line="360" w:lineRule="auto"/>
        <w:rPr>
          <w:rFonts w:ascii="Times New Roman" w:eastAsia="Times New Roman" w:hAnsi="Times New Roman" w:cs="Times New Roman"/>
          <w:sz w:val="24"/>
          <w:szCs w:val="24"/>
        </w:rPr>
      </w:pPr>
      <w:r w:rsidRPr="00321609">
        <w:rPr>
          <w:rFonts w:ascii="Times New Roman" w:eastAsia="Times New Roman" w:hAnsi="Times New Roman" w:cs="Times New Roman"/>
          <w:b/>
          <w:bCs/>
          <w:sz w:val="24"/>
          <w:szCs w:val="24"/>
        </w:rPr>
        <w:t xml:space="preserve">1.3 </w:t>
      </w:r>
      <w:r w:rsidR="00590115" w:rsidRPr="00590115">
        <w:rPr>
          <w:rFonts w:ascii="Times New Roman" w:eastAsia="Times New Roman" w:hAnsi="Times New Roman" w:cs="Times New Roman"/>
          <w:b/>
          <w:bCs/>
          <w:sz w:val="24"/>
          <w:szCs w:val="24"/>
        </w:rPr>
        <w:t>Explain how easements are extinguished. (AC3.3)</w:t>
      </w:r>
    </w:p>
    <w:bookmarkEnd w:id="1"/>
    <w:p w:rsidR="009111A1" w:rsidRDefault="009111A1" w:rsidP="00CD5709">
      <w:pPr>
        <w:spacing w:before="100" w:beforeAutospacing="1" w:after="100" w:afterAutospacing="1" w:line="360" w:lineRule="auto"/>
        <w:jc w:val="both"/>
        <w:rPr>
          <w:rFonts w:ascii="Times New Roman" w:eastAsia="Times New Roman" w:hAnsi="Times New Roman" w:cs="Times New Roman"/>
          <w:sz w:val="24"/>
          <w:szCs w:val="24"/>
        </w:rPr>
      </w:pPr>
      <w:r w:rsidRPr="009111A1">
        <w:rPr>
          <w:rFonts w:ascii="Times New Roman" w:eastAsia="Times New Roman" w:hAnsi="Times New Roman" w:cs="Times New Roman"/>
          <w:sz w:val="24"/>
          <w:szCs w:val="24"/>
          <w:highlight w:val="yellow"/>
        </w:rPr>
        <w:t xml:space="preserve">Although easements can be extinguished in a variety of ways and this extinction is possible through formal legal action or a change in the use or the necessity for the easement. Abandonment is one of the common methods of extinguishment where the dominant tenement owner stops using the easement and is clearly not planning on coming back to it. If the dominant tenement owner voluntarily releases her right to the easement, release occurs. In Phipps v. Pears [1965] 1 QB 76 was one of a number of cases which had </w:t>
      </w:r>
      <w:proofErr w:type="spellStart"/>
      <w:r w:rsidRPr="009111A1">
        <w:rPr>
          <w:rFonts w:ascii="Times New Roman" w:eastAsia="Times New Roman" w:hAnsi="Times New Roman" w:cs="Times New Roman"/>
          <w:sz w:val="24"/>
          <w:szCs w:val="24"/>
          <w:highlight w:val="yellow"/>
        </w:rPr>
        <w:t>recognised</w:t>
      </w:r>
      <w:proofErr w:type="spellEnd"/>
      <w:r w:rsidRPr="009111A1">
        <w:rPr>
          <w:rFonts w:ascii="Times New Roman" w:eastAsia="Times New Roman" w:hAnsi="Times New Roman" w:cs="Times New Roman"/>
          <w:sz w:val="24"/>
          <w:szCs w:val="24"/>
          <w:highlight w:val="yellow"/>
        </w:rPr>
        <w:t xml:space="preserve"> that an easement is extinguished where the dominant tenement no longer requires it (Grigg and </w:t>
      </w:r>
      <w:proofErr w:type="spellStart"/>
      <w:r w:rsidRPr="009111A1">
        <w:rPr>
          <w:rFonts w:ascii="Times New Roman" w:eastAsia="Times New Roman" w:hAnsi="Times New Roman" w:cs="Times New Roman"/>
          <w:sz w:val="24"/>
          <w:szCs w:val="24"/>
          <w:highlight w:val="yellow"/>
        </w:rPr>
        <w:t>Esmaeili</w:t>
      </w:r>
      <w:proofErr w:type="spellEnd"/>
      <w:r w:rsidRPr="009111A1">
        <w:rPr>
          <w:rFonts w:ascii="Times New Roman" w:eastAsia="Times New Roman" w:hAnsi="Times New Roman" w:cs="Times New Roman"/>
          <w:sz w:val="24"/>
          <w:szCs w:val="24"/>
          <w:highlight w:val="yellow"/>
        </w:rPr>
        <w:t>, 2023). Another way to extinguish the easement is through merger where the dominant and servient tenements are brought under common ownership so the easement lapsed being that the benefit of the easement is no longer any longer. Finally, the easement become extinguished when the servient tenement is destroyed and the easement becomes impossible to exercise. Changes in the physical or legal circumstances surrounding the easement also cause its extinction, including land use changes, new developments, etc.</w:t>
      </w:r>
    </w:p>
    <w:p w:rsidR="002A574A" w:rsidRPr="00321609" w:rsidRDefault="003D69B8" w:rsidP="00CD5709">
      <w:pPr>
        <w:spacing w:before="100" w:beforeAutospacing="1" w:after="100" w:afterAutospacing="1" w:line="360" w:lineRule="auto"/>
        <w:rPr>
          <w:rFonts w:ascii="Times New Roman" w:eastAsia="Times New Roman" w:hAnsi="Times New Roman" w:cs="Times New Roman"/>
          <w:sz w:val="24"/>
          <w:szCs w:val="24"/>
        </w:rPr>
      </w:pPr>
      <w:r w:rsidRPr="00321609">
        <w:rPr>
          <w:rFonts w:ascii="Times New Roman" w:eastAsia="Times New Roman" w:hAnsi="Times New Roman" w:cs="Times New Roman"/>
          <w:b/>
          <w:bCs/>
          <w:sz w:val="24"/>
          <w:szCs w:val="24"/>
        </w:rPr>
        <w:t>3. Enforceability of the Covenant on West Field</w:t>
      </w:r>
    </w:p>
    <w:p w:rsidR="002A574A" w:rsidRPr="00321609" w:rsidRDefault="003D69B8" w:rsidP="00CD5709">
      <w:pPr>
        <w:spacing w:before="100" w:beforeAutospacing="1" w:after="100" w:afterAutospacing="1" w:line="360" w:lineRule="auto"/>
        <w:rPr>
          <w:rFonts w:ascii="Times New Roman" w:eastAsia="Times New Roman" w:hAnsi="Times New Roman" w:cs="Times New Roman"/>
          <w:sz w:val="24"/>
          <w:szCs w:val="24"/>
        </w:rPr>
      </w:pPr>
      <w:r w:rsidRPr="00321609">
        <w:rPr>
          <w:rFonts w:ascii="Times New Roman" w:eastAsia="Times New Roman" w:hAnsi="Times New Roman" w:cs="Times New Roman"/>
          <w:b/>
          <w:bCs/>
          <w:sz w:val="24"/>
          <w:szCs w:val="24"/>
        </w:rPr>
        <w:t xml:space="preserve">3.1 </w:t>
      </w:r>
      <w:r w:rsidR="00590115" w:rsidRPr="00590115">
        <w:rPr>
          <w:rFonts w:ascii="Times New Roman" w:eastAsia="Times New Roman" w:hAnsi="Times New Roman" w:cs="Times New Roman"/>
          <w:b/>
          <w:bCs/>
          <w:sz w:val="24"/>
          <w:szCs w:val="24"/>
        </w:rPr>
        <w:t>Distinguish between positive and restrictive covenants. (AC4.1)</w:t>
      </w:r>
    </w:p>
    <w:p w:rsidR="00B649D5" w:rsidRPr="00321609" w:rsidRDefault="003D69B8" w:rsidP="00CD5709">
      <w:p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lastRenderedPageBreak/>
        <w:t>A restrictive covenant prohibits action on the land, and a positive covenant requires action on the land, such as keeping the structure up or putting something in, such as improvements. In Tulk v. The court, Moxhay [1848] 41 ER 1143 clarified that restrictive covenants can run with land and bind following owners when contained by specific criteria</w:t>
      </w:r>
      <w:r w:rsidR="00070A87" w:rsidRPr="00321609">
        <w:rPr>
          <w:rFonts w:ascii="Times New Roman" w:eastAsia="Times New Roman" w:hAnsi="Times New Roman" w:cs="Times New Roman"/>
          <w:sz w:val="24"/>
          <w:szCs w:val="24"/>
        </w:rPr>
        <w:t xml:space="preserve"> </w:t>
      </w:r>
      <w:r w:rsidR="00070A87" w:rsidRPr="00321609">
        <w:rPr>
          <w:rFonts w:ascii="Arial" w:hAnsi="Arial" w:cs="Arial"/>
          <w:color w:val="222222"/>
          <w:sz w:val="20"/>
          <w:szCs w:val="20"/>
          <w:shd w:val="clear" w:color="auto" w:fill="FFFFFF"/>
        </w:rPr>
        <w:t>(Grigg and Esmaeili, 2023)</w:t>
      </w:r>
      <w:r w:rsidRPr="00321609">
        <w:rPr>
          <w:rFonts w:ascii="Times New Roman" w:eastAsia="Times New Roman" w:hAnsi="Times New Roman" w:cs="Times New Roman"/>
          <w:sz w:val="24"/>
          <w:szCs w:val="24"/>
        </w:rPr>
        <w:t>.</w:t>
      </w:r>
    </w:p>
    <w:p w:rsidR="00B649D5" w:rsidRPr="00321609" w:rsidRDefault="003D69B8" w:rsidP="00CD5709">
      <w:pPr>
        <w:spacing w:line="360" w:lineRule="auto"/>
        <w:jc w:val="both"/>
        <w:rPr>
          <w:rFonts w:ascii="Times New Roman" w:eastAsia="Times New Roman" w:hAnsi="Times New Roman" w:cs="Times New Roman"/>
          <w:sz w:val="24"/>
          <w:szCs w:val="24"/>
        </w:rPr>
      </w:pPr>
      <w:r w:rsidRPr="00321609">
        <w:rPr>
          <w:rFonts w:ascii="Times New Roman" w:eastAsia="Times New Roman" w:hAnsi="Times New Roman" w:cs="Times New Roman"/>
          <w:sz w:val="24"/>
          <w:szCs w:val="24"/>
        </w:rPr>
        <w:t>For instance, in this case, Saskia's restrictive covenant against the construction of a house other than a one-storey one-story house and Tina's positive covenant to keep the wall in good condition are both covenants. Such covenants are enforced only if they 'touch and concern' the land, as was the case in Re Sturges [1879] 11 Ch D 158, where the court held that covenants affecting the use or enjoyment of land run with the land</w:t>
      </w:r>
      <w:r w:rsidR="00070A87" w:rsidRPr="00321609">
        <w:rPr>
          <w:rFonts w:ascii="Times New Roman" w:eastAsia="Times New Roman" w:hAnsi="Times New Roman" w:cs="Times New Roman"/>
          <w:sz w:val="24"/>
          <w:szCs w:val="24"/>
        </w:rPr>
        <w:t xml:space="preserve"> </w:t>
      </w:r>
      <w:r w:rsidR="00070A87" w:rsidRPr="00321609">
        <w:rPr>
          <w:color w:val="000000"/>
        </w:rPr>
        <w:t>‌(</w:t>
      </w:r>
      <w:r w:rsidR="00070A87" w:rsidRPr="00321609">
        <w:rPr>
          <w:rFonts w:ascii="Arial" w:hAnsi="Arial" w:cs="Arial"/>
          <w:color w:val="222222"/>
          <w:sz w:val="20"/>
          <w:szCs w:val="20"/>
          <w:shd w:val="clear" w:color="auto" w:fill="FFFFFF"/>
        </w:rPr>
        <w:t>Ball, 2021)</w:t>
      </w:r>
      <w:r w:rsidRPr="00321609">
        <w:rPr>
          <w:rFonts w:ascii="Times New Roman" w:eastAsia="Times New Roman" w:hAnsi="Times New Roman" w:cs="Times New Roman"/>
          <w:sz w:val="24"/>
          <w:szCs w:val="24"/>
        </w:rPr>
        <w:t>.</w:t>
      </w:r>
    </w:p>
    <w:p w:rsidR="00590115" w:rsidRPr="00491569" w:rsidRDefault="003D69B8" w:rsidP="00CD5709">
      <w:pPr>
        <w:spacing w:before="100" w:beforeAutospacing="1" w:after="100" w:afterAutospacing="1" w:line="360" w:lineRule="auto"/>
        <w:rPr>
          <w:rFonts w:ascii="Times New Roman" w:eastAsia="Times New Roman" w:hAnsi="Times New Roman" w:cs="Times New Roman"/>
          <w:b/>
          <w:bCs/>
          <w:sz w:val="24"/>
          <w:szCs w:val="24"/>
          <w:highlight w:val="yellow"/>
        </w:rPr>
      </w:pPr>
      <w:bookmarkStart w:id="2" w:name="_Hlk189653393"/>
      <w:r w:rsidRPr="00491569">
        <w:rPr>
          <w:rFonts w:ascii="Times New Roman" w:eastAsia="Times New Roman" w:hAnsi="Times New Roman" w:cs="Times New Roman"/>
          <w:b/>
          <w:bCs/>
          <w:sz w:val="24"/>
          <w:szCs w:val="24"/>
          <w:highlight w:val="yellow"/>
        </w:rPr>
        <w:t xml:space="preserve">3.2 </w:t>
      </w:r>
      <w:r w:rsidR="00590115" w:rsidRPr="00491569">
        <w:rPr>
          <w:rFonts w:ascii="Times New Roman" w:eastAsia="Times New Roman" w:hAnsi="Times New Roman" w:cs="Times New Roman"/>
          <w:b/>
          <w:bCs/>
          <w:sz w:val="24"/>
          <w:szCs w:val="24"/>
          <w:highlight w:val="yellow"/>
        </w:rPr>
        <w:t>Explain how the benefit and burden run in law and in equity. (AC4.2)</w:t>
      </w:r>
    </w:p>
    <w:p w:rsidR="00617132" w:rsidRPr="00491569" w:rsidRDefault="00617132" w:rsidP="00CD5709">
      <w:pPr>
        <w:spacing w:line="360" w:lineRule="auto"/>
        <w:jc w:val="both"/>
        <w:rPr>
          <w:rFonts w:ascii="Times New Roman" w:eastAsia="Times New Roman" w:hAnsi="Times New Roman" w:cs="Times New Roman"/>
          <w:sz w:val="24"/>
          <w:szCs w:val="24"/>
          <w:highlight w:val="yellow"/>
        </w:rPr>
      </w:pPr>
      <w:r w:rsidRPr="00491569">
        <w:rPr>
          <w:rFonts w:ascii="Times New Roman" w:eastAsia="Times New Roman" w:hAnsi="Times New Roman" w:cs="Times New Roman"/>
          <w:sz w:val="24"/>
          <w:szCs w:val="24"/>
          <w:highlight w:val="yellow"/>
        </w:rPr>
        <w:t xml:space="preserve">While there are differences in the legal principles governing the running of benefit and burden in covenants in law and equity, they do not render the covenant unenforceable with respect to a particular action taken wrongful. As regards benefits of covenants, it will pass to successors in title if its enjoyment is annexed to the land, or assigned to such successors, or if it benefits the landowner rather than an individual (Federated Homes Ltd v Mill Lodge Properties Ltd [1980] 1 WLR 594). It is of course a rule of law that the burden in any case does not pass at law, after the rule in </w:t>
      </w:r>
      <w:proofErr w:type="spellStart"/>
      <w:r w:rsidRPr="00491569">
        <w:rPr>
          <w:rFonts w:ascii="Times New Roman" w:eastAsia="Times New Roman" w:hAnsi="Times New Roman" w:cs="Times New Roman"/>
          <w:sz w:val="24"/>
          <w:szCs w:val="24"/>
          <w:highlight w:val="yellow"/>
        </w:rPr>
        <w:t>Austerberry</w:t>
      </w:r>
      <w:proofErr w:type="spellEnd"/>
      <w:r w:rsidRPr="00491569">
        <w:rPr>
          <w:rFonts w:ascii="Times New Roman" w:eastAsia="Times New Roman" w:hAnsi="Times New Roman" w:cs="Times New Roman"/>
          <w:sz w:val="24"/>
          <w:szCs w:val="24"/>
          <w:highlight w:val="yellow"/>
        </w:rPr>
        <w:t xml:space="preserve"> v Oldham Corporation [1885] 29 Ch D 750, unless there is an express agreement binding successors </w:t>
      </w:r>
      <w:r w:rsidRPr="00491569">
        <w:rPr>
          <w:rFonts w:ascii="Times New Roman" w:hAnsi="Times New Roman" w:cs="Times New Roman"/>
          <w:color w:val="222222"/>
          <w:sz w:val="24"/>
          <w:szCs w:val="24"/>
          <w:highlight w:val="yellow"/>
          <w:shd w:val="clear" w:color="auto" w:fill="FFFFFF"/>
        </w:rPr>
        <w:t>(Sherry, C., 2021)</w:t>
      </w:r>
      <w:r w:rsidRPr="00491569">
        <w:rPr>
          <w:rFonts w:ascii="Times New Roman" w:eastAsia="Times New Roman" w:hAnsi="Times New Roman" w:cs="Times New Roman"/>
          <w:sz w:val="24"/>
          <w:szCs w:val="24"/>
          <w:highlight w:val="yellow"/>
        </w:rPr>
        <w:t>.</w:t>
      </w:r>
    </w:p>
    <w:p w:rsidR="00617132" w:rsidRPr="00491569" w:rsidRDefault="00617132" w:rsidP="00CD5709">
      <w:pPr>
        <w:spacing w:line="360" w:lineRule="auto"/>
        <w:jc w:val="both"/>
        <w:rPr>
          <w:rFonts w:ascii="Times New Roman" w:eastAsia="Times New Roman" w:hAnsi="Times New Roman" w:cs="Times New Roman"/>
          <w:sz w:val="24"/>
          <w:szCs w:val="24"/>
          <w:highlight w:val="yellow"/>
        </w:rPr>
      </w:pPr>
      <w:r w:rsidRPr="00491569">
        <w:rPr>
          <w:rFonts w:ascii="Times New Roman" w:eastAsia="Times New Roman" w:hAnsi="Times New Roman" w:cs="Times New Roman"/>
          <w:sz w:val="24"/>
          <w:szCs w:val="24"/>
          <w:highlight w:val="yellow"/>
        </w:rPr>
        <w:t xml:space="preserve">The landmark ruling in </w:t>
      </w:r>
      <w:proofErr w:type="spellStart"/>
      <w:r w:rsidRPr="00491569">
        <w:rPr>
          <w:rFonts w:ascii="Times New Roman" w:eastAsia="Times New Roman" w:hAnsi="Times New Roman" w:cs="Times New Roman"/>
          <w:sz w:val="24"/>
          <w:szCs w:val="24"/>
          <w:highlight w:val="yellow"/>
        </w:rPr>
        <w:t>Tulk</w:t>
      </w:r>
      <w:proofErr w:type="spellEnd"/>
      <w:r w:rsidRPr="00491569">
        <w:rPr>
          <w:rFonts w:ascii="Times New Roman" w:eastAsia="Times New Roman" w:hAnsi="Times New Roman" w:cs="Times New Roman"/>
          <w:sz w:val="24"/>
          <w:szCs w:val="24"/>
          <w:highlight w:val="yellow"/>
        </w:rPr>
        <w:t xml:space="preserve"> v </w:t>
      </w:r>
      <w:proofErr w:type="spellStart"/>
      <w:r w:rsidRPr="00491569">
        <w:rPr>
          <w:rFonts w:ascii="Times New Roman" w:eastAsia="Times New Roman" w:hAnsi="Times New Roman" w:cs="Times New Roman"/>
          <w:sz w:val="24"/>
          <w:szCs w:val="24"/>
          <w:highlight w:val="yellow"/>
        </w:rPr>
        <w:t>Moxhay</w:t>
      </w:r>
      <w:proofErr w:type="spellEnd"/>
      <w:r w:rsidRPr="00491569">
        <w:rPr>
          <w:rFonts w:ascii="Times New Roman" w:eastAsia="Times New Roman" w:hAnsi="Times New Roman" w:cs="Times New Roman"/>
          <w:sz w:val="24"/>
          <w:szCs w:val="24"/>
          <w:highlight w:val="yellow"/>
        </w:rPr>
        <w:t xml:space="preserve"> [1848] 41 ER 1143 imposes in equity the burden of a restrictive covenant to run with the land </w:t>
      </w:r>
      <w:r w:rsidRPr="00491569">
        <w:rPr>
          <w:rFonts w:ascii="Times New Roman" w:hAnsi="Times New Roman" w:cs="Times New Roman"/>
          <w:color w:val="222222"/>
          <w:sz w:val="24"/>
          <w:szCs w:val="24"/>
          <w:highlight w:val="yellow"/>
          <w:shd w:val="clear" w:color="auto" w:fill="FFFFFF"/>
        </w:rPr>
        <w:t xml:space="preserve">(Grigg and </w:t>
      </w:r>
      <w:proofErr w:type="spellStart"/>
      <w:r w:rsidRPr="00491569">
        <w:rPr>
          <w:rFonts w:ascii="Times New Roman" w:hAnsi="Times New Roman" w:cs="Times New Roman"/>
          <w:color w:val="222222"/>
          <w:sz w:val="24"/>
          <w:szCs w:val="24"/>
          <w:highlight w:val="yellow"/>
          <w:shd w:val="clear" w:color="auto" w:fill="FFFFFF"/>
        </w:rPr>
        <w:t>Esmaeili</w:t>
      </w:r>
      <w:proofErr w:type="spellEnd"/>
      <w:r w:rsidRPr="00491569">
        <w:rPr>
          <w:rFonts w:ascii="Times New Roman" w:hAnsi="Times New Roman" w:cs="Times New Roman"/>
          <w:color w:val="222222"/>
          <w:sz w:val="24"/>
          <w:szCs w:val="24"/>
          <w:highlight w:val="yellow"/>
          <w:shd w:val="clear" w:color="auto" w:fill="FFFFFF"/>
        </w:rPr>
        <w:t>, 2023)</w:t>
      </w:r>
      <w:r w:rsidRPr="00491569">
        <w:rPr>
          <w:rFonts w:ascii="Times New Roman" w:eastAsia="Times New Roman" w:hAnsi="Times New Roman" w:cs="Times New Roman"/>
          <w:sz w:val="24"/>
          <w:szCs w:val="24"/>
          <w:highlight w:val="yellow"/>
        </w:rPr>
        <w:t>. In this case, however, the court established that in case of restrictive covenant that was intended to run with the land, benefited the dominant land, but the purchaser had notice of it, then it bind a successor in title. The benefit of a covenant in equity, however, ceases to run with the land and pass if it comes into contact and concern the land, and it is intended to run with it (Wroth v Tyler [1974] Ch 30). Therefore, the benefit will move more easily but the burden has to be more strictly guided by equitable principles and registration.</w:t>
      </w:r>
    </w:p>
    <w:p w:rsidR="002A574A" w:rsidRPr="00491569" w:rsidRDefault="003D69B8" w:rsidP="00CD5709">
      <w:pPr>
        <w:spacing w:before="100" w:beforeAutospacing="1" w:after="100" w:afterAutospacing="1" w:line="360" w:lineRule="auto"/>
        <w:rPr>
          <w:rFonts w:ascii="Times New Roman" w:eastAsia="Times New Roman" w:hAnsi="Times New Roman" w:cs="Times New Roman"/>
          <w:sz w:val="24"/>
          <w:szCs w:val="24"/>
          <w:highlight w:val="yellow"/>
        </w:rPr>
      </w:pPr>
      <w:r w:rsidRPr="00491569">
        <w:rPr>
          <w:rFonts w:ascii="Times New Roman" w:eastAsia="Times New Roman" w:hAnsi="Times New Roman" w:cs="Times New Roman"/>
          <w:b/>
          <w:bCs/>
          <w:sz w:val="24"/>
          <w:szCs w:val="24"/>
          <w:highlight w:val="yellow"/>
        </w:rPr>
        <w:t xml:space="preserve">3.3 </w:t>
      </w:r>
      <w:r w:rsidR="00590115" w:rsidRPr="00491569">
        <w:rPr>
          <w:rFonts w:ascii="Times New Roman" w:eastAsia="Times New Roman" w:hAnsi="Times New Roman" w:cs="Times New Roman"/>
          <w:b/>
          <w:bCs/>
          <w:sz w:val="24"/>
          <w:szCs w:val="24"/>
          <w:highlight w:val="yellow"/>
        </w:rPr>
        <w:t>Explain how freehold covenants are discharged or modified. (AC4.3)</w:t>
      </w:r>
    </w:p>
    <w:p w:rsidR="00617132" w:rsidRPr="00491569" w:rsidRDefault="00617132" w:rsidP="00CD5709">
      <w:pPr>
        <w:spacing w:line="360" w:lineRule="auto"/>
        <w:jc w:val="both"/>
        <w:rPr>
          <w:rFonts w:ascii="Times New Roman" w:eastAsia="Times New Roman" w:hAnsi="Times New Roman" w:cs="Times New Roman"/>
          <w:sz w:val="24"/>
          <w:szCs w:val="24"/>
          <w:highlight w:val="yellow"/>
        </w:rPr>
      </w:pPr>
      <w:r w:rsidRPr="00491569">
        <w:rPr>
          <w:rFonts w:ascii="Times New Roman" w:eastAsia="Times New Roman" w:hAnsi="Times New Roman" w:cs="Times New Roman"/>
          <w:sz w:val="24"/>
          <w:szCs w:val="24"/>
          <w:highlight w:val="yellow"/>
        </w:rPr>
        <w:lastRenderedPageBreak/>
        <w:t xml:space="preserve">The freehold covenants are discharged or altered in the following circumstances. The Law of Property Act 1925, section 84, provides a statutory way of compelling a landowner to discharge or modify a restrictive covenant upon the application to the Lands Tribunal of the Landowner </w:t>
      </w:r>
      <w:r w:rsidRPr="00491569">
        <w:rPr>
          <w:rFonts w:ascii="Times New Roman" w:hAnsi="Times New Roman" w:cs="Times New Roman"/>
          <w:color w:val="222222"/>
          <w:sz w:val="24"/>
          <w:szCs w:val="24"/>
          <w:highlight w:val="yellow"/>
          <w:shd w:val="clear" w:color="auto" w:fill="FFFFFF"/>
        </w:rPr>
        <w:t>(Walsh, 2024)</w:t>
      </w:r>
      <w:r w:rsidRPr="00491569">
        <w:rPr>
          <w:rFonts w:ascii="Times New Roman" w:eastAsia="Times New Roman" w:hAnsi="Times New Roman" w:cs="Times New Roman"/>
          <w:sz w:val="24"/>
          <w:szCs w:val="24"/>
          <w:highlight w:val="yellow"/>
        </w:rPr>
        <w:t>. Application to a covenant if character of property or neighborhood is altered, application impairs reasonable land use without substantial benefit to others, or consent to be released (Re Martin's Application [1988] 55 P&amp;CR 305).</w:t>
      </w:r>
    </w:p>
    <w:p w:rsidR="00617132" w:rsidRPr="00491569" w:rsidRDefault="00617132" w:rsidP="00CD5709">
      <w:pPr>
        <w:spacing w:line="360" w:lineRule="auto"/>
        <w:jc w:val="both"/>
        <w:rPr>
          <w:rFonts w:ascii="Times New Roman" w:eastAsia="Times New Roman" w:hAnsi="Times New Roman" w:cs="Times New Roman"/>
          <w:sz w:val="24"/>
          <w:szCs w:val="24"/>
          <w:highlight w:val="yellow"/>
        </w:rPr>
      </w:pPr>
      <w:r w:rsidRPr="00491569">
        <w:rPr>
          <w:rFonts w:ascii="Times New Roman" w:eastAsia="Times New Roman" w:hAnsi="Times New Roman" w:cs="Times New Roman"/>
          <w:sz w:val="24"/>
          <w:szCs w:val="24"/>
          <w:highlight w:val="yellow"/>
        </w:rPr>
        <w:t xml:space="preserve">Furthermore, covenants also be discharged through the agreement of the parties involved because the covenantee and the covenantor agree to terms under which the covenant is released. Implied release is another method whereby long term non-enforceable show that the contract has been no longer a valid one (Hepworth v Pickles [1900] 1 Ch 108). In terms of whether covenants still remain pertinent, courts have also considered whether a covenant can be cancelled for expunging a purpose provided by it if the latter no longer serves a practical purpose, as was decided in Twycross v Grant [1877] 2 Ch D 469 </w:t>
      </w:r>
      <w:r w:rsidRPr="00491569">
        <w:rPr>
          <w:rFonts w:ascii="Times New Roman" w:hAnsi="Times New Roman" w:cs="Times New Roman"/>
          <w:color w:val="000000"/>
          <w:sz w:val="24"/>
          <w:szCs w:val="24"/>
          <w:highlight w:val="yellow"/>
          <w:shd w:val="clear" w:color="auto" w:fill="FFFFFF"/>
        </w:rPr>
        <w:t>(Duckworth and Chambers, 2016)</w:t>
      </w:r>
      <w:r w:rsidRPr="00491569">
        <w:rPr>
          <w:rFonts w:ascii="Times New Roman" w:eastAsia="Times New Roman" w:hAnsi="Times New Roman" w:cs="Times New Roman"/>
          <w:sz w:val="24"/>
          <w:szCs w:val="24"/>
          <w:highlight w:val="yellow"/>
        </w:rPr>
        <w:t>.</w:t>
      </w:r>
    </w:p>
    <w:p w:rsidR="00617132" w:rsidRPr="006E0961" w:rsidRDefault="00617132" w:rsidP="00CD5709">
      <w:pPr>
        <w:spacing w:line="360" w:lineRule="auto"/>
        <w:jc w:val="both"/>
        <w:rPr>
          <w:rFonts w:ascii="Times New Roman" w:hAnsi="Times New Roman" w:cs="Times New Roman"/>
          <w:sz w:val="24"/>
          <w:szCs w:val="24"/>
          <w:highlight w:val="yellow"/>
        </w:rPr>
      </w:pPr>
      <w:r w:rsidRPr="00491569">
        <w:rPr>
          <w:rFonts w:ascii="Times New Roman" w:eastAsia="Times New Roman" w:hAnsi="Times New Roman" w:cs="Times New Roman"/>
          <w:sz w:val="24"/>
          <w:szCs w:val="24"/>
          <w:highlight w:val="yellow"/>
        </w:rPr>
        <w:t xml:space="preserve">To sum it up, freehold covenants can be removed or otherwise amended by means of legal mechanism, agreement or a significant change in property usage. These provisions strike a balance </w:t>
      </w:r>
      <w:r w:rsidRPr="006E0961">
        <w:rPr>
          <w:rFonts w:ascii="Times New Roman" w:eastAsia="Times New Roman" w:hAnsi="Times New Roman" w:cs="Times New Roman"/>
          <w:sz w:val="24"/>
          <w:szCs w:val="24"/>
          <w:highlight w:val="yellow"/>
        </w:rPr>
        <w:t>between landowners’ rights and making sure covenants that are old and not reasonable are not unfairly limiting development.</w:t>
      </w:r>
    </w:p>
    <w:p w:rsidR="002A574A" w:rsidRPr="006E0961" w:rsidRDefault="003D69B8" w:rsidP="00CD5709">
      <w:pPr>
        <w:spacing w:before="100" w:beforeAutospacing="1" w:after="100" w:afterAutospacing="1" w:line="360" w:lineRule="auto"/>
        <w:rPr>
          <w:rFonts w:ascii="Times New Roman" w:eastAsia="Times New Roman" w:hAnsi="Times New Roman" w:cs="Times New Roman"/>
          <w:sz w:val="24"/>
          <w:szCs w:val="24"/>
          <w:highlight w:val="yellow"/>
        </w:rPr>
      </w:pPr>
      <w:r w:rsidRPr="006E0961">
        <w:rPr>
          <w:rFonts w:ascii="Times New Roman" w:eastAsia="Times New Roman" w:hAnsi="Times New Roman" w:cs="Times New Roman"/>
          <w:b/>
          <w:bCs/>
          <w:sz w:val="24"/>
          <w:szCs w:val="24"/>
          <w:highlight w:val="yellow"/>
        </w:rPr>
        <w:t>2. Terrence's Rights to Remain on the Land Saskia's Rights</w:t>
      </w:r>
    </w:p>
    <w:bookmarkEnd w:id="2"/>
    <w:p w:rsidR="005D134A" w:rsidRPr="006E0961" w:rsidRDefault="005D134A" w:rsidP="00CD5709">
      <w:pPr>
        <w:pStyle w:val="NormalWeb"/>
        <w:spacing w:before="0" w:beforeAutospacing="0" w:after="0" w:afterAutospacing="0" w:line="360" w:lineRule="auto"/>
        <w:jc w:val="both"/>
        <w:rPr>
          <w:color w:val="0E101A"/>
          <w:highlight w:val="yellow"/>
        </w:rPr>
      </w:pPr>
      <w:r w:rsidRPr="006E0961">
        <w:rPr>
          <w:rStyle w:val="Strong"/>
          <w:color w:val="0E101A"/>
          <w:highlight w:val="yellow"/>
        </w:rPr>
        <w:t>2.1 Explain how adverse possession is established (AC5.1)</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Adverse possession gives a person the right to claim the ownership of the land he does not have the legal title to if he has occupied it without interruption and any exception for the stipulated period. The elements of adverse possession consist of factual possession, an intention to possess, and continuous occupation.</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 xml:space="preserve">As in Powell v McFarlane [1977] 38 P&amp;CR 452, factual possession is something that the claimant needs to prove, which is physical control over the land by fencing it, using it regularly, or making improvements (Bevan, 2024). In other words, it is the intention to possess and it includes the intention to exercise exclusive control, excluding all others, including the legal owner (JA </w:t>
      </w:r>
      <w:proofErr w:type="spellStart"/>
      <w:r w:rsidRPr="007B158A">
        <w:rPr>
          <w:color w:val="0E101A"/>
          <w:highlight w:val="yellow"/>
        </w:rPr>
        <w:t>Pye</w:t>
      </w:r>
      <w:proofErr w:type="spellEnd"/>
      <w:r w:rsidRPr="007B158A">
        <w:rPr>
          <w:color w:val="0E101A"/>
          <w:highlight w:val="yellow"/>
        </w:rPr>
        <w:t xml:space="preserve"> (Oxford) Ltd v Graham [2002] 3 WLR 221). Continuous occupation means the possession of the </w:t>
      </w:r>
      <w:r w:rsidRPr="007B158A">
        <w:rPr>
          <w:color w:val="0E101A"/>
          <w:highlight w:val="yellow"/>
        </w:rPr>
        <w:lastRenderedPageBreak/>
        <w:t>claimant must be uninterrupted for the course of the legally approved period, such as 12 years under common law (Parliament.uk, 2025).</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Further case law, such as Manuel v Williams (2006) incorporates the same evidence that the claimant must prove an uninterrupted possession without owner consent (Joshua, 2022). If the owner takes any steps to prevent the non-proprietary use that has occurred within the statutory period the acquisition of adverse possession fails. These principles guarantee that if a landowner fails to manage his property for an extended period, there is an end to his rights if another person shall keep and control the land.</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rStyle w:val="Strong"/>
          <w:color w:val="0E101A"/>
          <w:highlight w:val="yellow"/>
        </w:rPr>
        <w:t>2.2 Illustrate registered owners’ protection against adverse possession under the LRA 2002 (AC5.2)</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 xml:space="preserve">Great changes were introduced in respect of adverse possession claims on registered land by the Land Registration Act 2002 (LRA 2002). Under Section 96 there is only one condition which has to be </w:t>
      </w:r>
      <w:proofErr w:type="spellStart"/>
      <w:r w:rsidRPr="007B158A">
        <w:rPr>
          <w:color w:val="0E101A"/>
          <w:highlight w:val="yellow"/>
        </w:rPr>
        <w:t>thresholded</w:t>
      </w:r>
      <w:proofErr w:type="spellEnd"/>
      <w:r w:rsidRPr="007B158A">
        <w:rPr>
          <w:color w:val="0E101A"/>
          <w:highlight w:val="yellow"/>
        </w:rPr>
        <w:t xml:space="preserve"> by a claimant, that is, for the claimant to have adverse possession, he/she has to actually occupy the land continuously for a period of at least 10 years (</w:t>
      </w:r>
      <w:proofErr w:type="spellStart"/>
      <w:r w:rsidRPr="007B158A">
        <w:rPr>
          <w:color w:val="0E101A"/>
          <w:highlight w:val="yellow"/>
        </w:rPr>
        <w:t>Onyeabor</w:t>
      </w:r>
      <w:proofErr w:type="spellEnd"/>
      <w:r w:rsidRPr="007B158A">
        <w:rPr>
          <w:color w:val="0E101A"/>
          <w:highlight w:val="yellow"/>
        </w:rPr>
        <w:t>, 2024).</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The LRA 2002 states that the defendant should apply to the Land Registry after ten years of possession. If the owner registers, the owner receives 65 days to object (Sayles, 2022). The claim is usually rejected if the owner objects, but, unless exceptional circumstances exist, it is disregarded unless there is an equitable right to the land (Buckinghamshire County Council v Moran [1990] 2 All ER 228). To allow registered owners to defend against adverse possession claims before they are finalized, this provision is in place.</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Also, if the claimant remains in possession for two years additional without further challenge, it becomes easier to make a second application. It provides such great protection for registered owners that unlawful acquisitions should not be possible and that the rights of landowners are maintained. The LRA 2002 achieves this by requiring formal applications and owner notifications to prevent any practical authority over land in the sense of covert grabs, while still allowing legitimate claims to be heard (</w:t>
      </w:r>
      <w:proofErr w:type="spellStart"/>
      <w:r w:rsidRPr="007B158A">
        <w:rPr>
          <w:color w:val="0E101A"/>
          <w:highlight w:val="yellow"/>
        </w:rPr>
        <w:t>Gilgoff</w:t>
      </w:r>
      <w:proofErr w:type="spellEnd"/>
      <w:r w:rsidRPr="007B158A">
        <w:rPr>
          <w:color w:val="0E101A"/>
          <w:highlight w:val="yellow"/>
        </w:rPr>
        <w:t>, 2021).</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rStyle w:val="Strong"/>
          <w:color w:val="0E101A"/>
          <w:highlight w:val="yellow"/>
        </w:rPr>
        <w:t>2.3 Illustrate the advantages of registered proprietors in the context of adverse possession (AC5.3)</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 xml:space="preserve">Under the LRA 2002, registered proprietors enjoy strong legal protection from adverse possession. Firstly, however, it requires claimants to notify the registered owner and through a formal </w:t>
      </w:r>
      <w:r w:rsidRPr="007B158A">
        <w:rPr>
          <w:color w:val="0E101A"/>
          <w:highlight w:val="yellow"/>
        </w:rPr>
        <w:lastRenderedPageBreak/>
        <w:t>application process, before any claim will succeed (Land Registry Rules 2003). With this, land cannot be unlawfully taken over.</w:t>
      </w:r>
    </w:p>
    <w:p w:rsidR="005D134A" w:rsidRPr="007B158A" w:rsidRDefault="005D134A" w:rsidP="00CD5709">
      <w:pPr>
        <w:pStyle w:val="NormalWeb"/>
        <w:spacing w:before="0" w:beforeAutospacing="0" w:after="0" w:afterAutospacing="0" w:line="360" w:lineRule="auto"/>
        <w:jc w:val="both"/>
        <w:rPr>
          <w:color w:val="0E101A"/>
          <w:highlight w:val="yellow"/>
        </w:rPr>
      </w:pPr>
      <w:r w:rsidRPr="007B158A">
        <w:rPr>
          <w:color w:val="0E101A"/>
          <w:highlight w:val="yellow"/>
        </w:rPr>
        <w:t>Registered proprietors get one of the key advantages of them being able to object to an adverse possession claim within the statutory time limit. In London Borough of Southwark v Mills [2001] 1 AC 1 the court made clear that it is the burden of the adverse possessor and it was tough for a registered owner to be dispossessed. Additionally, digital records to show ownership help to combat fraudulent claims on registered land.</w:t>
      </w:r>
    </w:p>
    <w:p w:rsidR="003C5AE1" w:rsidRPr="00BD1512" w:rsidRDefault="005D134A" w:rsidP="00CD5709">
      <w:pPr>
        <w:pStyle w:val="NormalWeb"/>
        <w:spacing w:before="0" w:beforeAutospacing="0" w:after="0" w:afterAutospacing="0" w:line="360" w:lineRule="auto"/>
        <w:jc w:val="both"/>
        <w:rPr>
          <w:color w:val="0E101A"/>
        </w:rPr>
      </w:pPr>
      <w:r w:rsidRPr="007B158A">
        <w:rPr>
          <w:color w:val="0E101A"/>
          <w:highlight w:val="yellow"/>
        </w:rPr>
        <w:t>Furthermore, any claim of adverse possession (</w:t>
      </w:r>
      <w:proofErr w:type="spellStart"/>
      <w:r w:rsidRPr="007B158A">
        <w:rPr>
          <w:color w:val="0E101A"/>
          <w:highlight w:val="yellow"/>
        </w:rPr>
        <w:t>Pye</w:t>
      </w:r>
      <w:proofErr w:type="spellEnd"/>
      <w:r w:rsidRPr="007B158A">
        <w:rPr>
          <w:color w:val="0E101A"/>
          <w:highlight w:val="yellow"/>
        </w:rPr>
        <w:t xml:space="preserve"> v Graham [2002] 3 WLR 221) is further attenuated by the use or inspection of the land by the registered owner if it is used or periodically inspected by the registered owner (</w:t>
      </w:r>
      <w:proofErr w:type="spellStart"/>
      <w:r w:rsidRPr="007B158A">
        <w:rPr>
          <w:color w:val="0E101A"/>
          <w:highlight w:val="yellow"/>
        </w:rPr>
        <w:t>Armour</w:t>
      </w:r>
      <w:proofErr w:type="spellEnd"/>
      <w:r w:rsidRPr="007B158A">
        <w:rPr>
          <w:color w:val="0E101A"/>
          <w:highlight w:val="yellow"/>
        </w:rPr>
        <w:t xml:space="preserve"> et al., 2002). Even if the statutory period has run its course, however, equity will allow the owner to challenge the claim. This ensures that registered proprietors have strong legal protections and it is much tougher for someone with adverse possessory rights to claim rightful ownership without a legal basis.</w:t>
      </w:r>
    </w:p>
    <w:p w:rsidR="00321609" w:rsidRPr="00793EE5" w:rsidRDefault="00321609" w:rsidP="00CD5709">
      <w:pPr>
        <w:spacing w:before="100" w:beforeAutospacing="1" w:after="100" w:afterAutospacing="1" w:line="360" w:lineRule="auto"/>
        <w:outlineLvl w:val="2"/>
        <w:rPr>
          <w:rFonts w:ascii="Times New Roman" w:eastAsia="Times New Roman" w:hAnsi="Times New Roman" w:cs="Times New Roman"/>
          <w:b/>
          <w:bCs/>
          <w:sz w:val="27"/>
          <w:szCs w:val="27"/>
        </w:rPr>
      </w:pPr>
      <w:r w:rsidRPr="00491569">
        <w:rPr>
          <w:rFonts w:ascii="Times New Roman" w:eastAsia="Times New Roman" w:hAnsi="Times New Roman" w:cs="Times New Roman"/>
          <w:b/>
          <w:bCs/>
          <w:sz w:val="27"/>
          <w:szCs w:val="27"/>
        </w:rPr>
        <w:t>4. Merit &amp; Distinction Criteria</w:t>
      </w:r>
    </w:p>
    <w:p w:rsidR="00321609" w:rsidRPr="00793EE5" w:rsidRDefault="00321609" w:rsidP="00CD5709">
      <w:pPr>
        <w:spacing w:before="100" w:beforeAutospacing="1" w:after="100" w:afterAutospacing="1" w:line="360" w:lineRule="auto"/>
        <w:outlineLvl w:val="3"/>
        <w:rPr>
          <w:rFonts w:ascii="Times New Roman" w:eastAsia="Times New Roman" w:hAnsi="Times New Roman" w:cs="Times New Roman"/>
          <w:b/>
          <w:bCs/>
          <w:sz w:val="24"/>
          <w:szCs w:val="24"/>
        </w:rPr>
      </w:pPr>
      <w:r w:rsidRPr="00793EE5">
        <w:rPr>
          <w:rFonts w:ascii="Times New Roman" w:eastAsia="Times New Roman" w:hAnsi="Times New Roman" w:cs="Times New Roman"/>
          <w:b/>
          <w:bCs/>
          <w:sz w:val="24"/>
          <w:szCs w:val="24"/>
        </w:rPr>
        <w:t>4.1 Enforceability of Positive Covenants Against Third Parties (4M1)</w:t>
      </w:r>
    </w:p>
    <w:p w:rsidR="005B0927" w:rsidRPr="00793EE5" w:rsidRDefault="005B0927" w:rsidP="00CD5709">
      <w:pPr>
        <w:spacing w:line="360" w:lineRule="auto"/>
        <w:jc w:val="both"/>
        <w:rPr>
          <w:rFonts w:ascii="Times New Roman" w:hAnsi="Times New Roman" w:cs="Times New Roman"/>
          <w:sz w:val="24"/>
          <w:szCs w:val="24"/>
        </w:rPr>
      </w:pPr>
      <w:r w:rsidRPr="00793EE5">
        <w:rPr>
          <w:rFonts w:ascii="Times New Roman" w:hAnsi="Times New Roman" w:cs="Times New Roman"/>
          <w:sz w:val="24"/>
          <w:szCs w:val="24"/>
        </w:rPr>
        <w:t>The law Commission has permanently suggested that the pressure of positive covenants, that is, where the subordinate holder is to perform something, despite the restriction from performing something, be constructed to operate with the land and hence be obligatory against the inheritor in subject to correct covenantor for example, Rhone v Steven (1994) 2 AC 310 at 321 case law</w:t>
      </w:r>
      <w:r w:rsidR="00E0256E">
        <w:rPr>
          <w:rFonts w:ascii="Times New Roman" w:hAnsi="Times New Roman" w:cs="Times New Roman"/>
          <w:sz w:val="24"/>
          <w:szCs w:val="24"/>
        </w:rPr>
        <w:t xml:space="preserve"> </w:t>
      </w:r>
      <w:proofErr w:type="gramStart"/>
      <w:r w:rsidR="00E0256E">
        <w:rPr>
          <w:color w:val="000000"/>
        </w:rPr>
        <w:t>‌(</w:t>
      </w:r>
      <w:proofErr w:type="gramEnd"/>
      <w:r w:rsidR="00E0256E">
        <w:rPr>
          <w:rFonts w:ascii="Arial" w:hAnsi="Arial" w:cs="Arial"/>
          <w:color w:val="222222"/>
          <w:sz w:val="20"/>
          <w:szCs w:val="20"/>
          <w:shd w:val="clear" w:color="auto" w:fill="FFFFFF"/>
        </w:rPr>
        <w:t>Richards, 2021)</w:t>
      </w:r>
      <w:r w:rsidRPr="00793EE5">
        <w:rPr>
          <w:rFonts w:ascii="Times New Roman" w:hAnsi="Times New Roman" w:cs="Times New Roman"/>
          <w:sz w:val="24"/>
          <w:szCs w:val="24"/>
        </w:rPr>
        <w:t>. Usually, a covenant can be obligated only against the individual who performs it. Regarding the case study, Saskia's commitment to managing the wall is obligatory; it usually can't be compelled against Tina whether she trades the west field. Eventually, a covenant not to enable a thing to go under abandonment would be recognized as a positive repairing covenant. The case law of Haywood V Brunswick Benefit Building Society (1881) 8 QBD 403 still transparently needs spending on the traditional task, which should be considered positive enforceability</w:t>
      </w:r>
      <w:r w:rsidR="00E0256E">
        <w:rPr>
          <w:rFonts w:ascii="Times New Roman" w:hAnsi="Times New Roman" w:cs="Times New Roman"/>
          <w:sz w:val="24"/>
          <w:szCs w:val="24"/>
        </w:rPr>
        <w:t xml:space="preserve"> </w:t>
      </w:r>
      <w:r w:rsidR="00E0256E">
        <w:rPr>
          <w:color w:val="000000"/>
        </w:rPr>
        <w:t>(</w:t>
      </w:r>
      <w:r w:rsidR="00E0256E">
        <w:rPr>
          <w:rFonts w:ascii="Arial" w:hAnsi="Arial" w:cs="Arial"/>
          <w:color w:val="222222"/>
          <w:sz w:val="20"/>
          <w:szCs w:val="20"/>
          <w:shd w:val="clear" w:color="auto" w:fill="FFFFFF"/>
        </w:rPr>
        <w:t>ODEKUNLE, 2024)</w:t>
      </w:r>
      <w:r w:rsidRPr="00793EE5">
        <w:rPr>
          <w:rFonts w:ascii="Times New Roman" w:hAnsi="Times New Roman" w:cs="Times New Roman"/>
          <w:sz w:val="24"/>
          <w:szCs w:val="24"/>
        </w:rPr>
        <w:t>. The state of the law in the context of positive covenants has been disapproved. Several, involving the Law Commission, have summarized that it would be beneficial for the law to restrain the variation among the limited and positive enforceability as their remedy as property rights bothered</w:t>
      </w:r>
      <w:r w:rsidR="00E0256E">
        <w:rPr>
          <w:rFonts w:ascii="Times New Roman" w:hAnsi="Times New Roman" w:cs="Times New Roman"/>
          <w:sz w:val="24"/>
          <w:szCs w:val="24"/>
        </w:rPr>
        <w:t xml:space="preserve"> </w:t>
      </w:r>
      <w:r w:rsidR="00E0256E">
        <w:rPr>
          <w:color w:val="000000"/>
          <w:shd w:val="clear" w:color="auto" w:fill="FFFFFF"/>
        </w:rPr>
        <w:t>(</w:t>
      </w:r>
      <w:proofErr w:type="spellStart"/>
      <w:r w:rsidR="00E0256E">
        <w:rPr>
          <w:color w:val="000000"/>
          <w:shd w:val="clear" w:color="auto" w:fill="FFFFFF"/>
        </w:rPr>
        <w:t>vLex</w:t>
      </w:r>
      <w:proofErr w:type="spellEnd"/>
      <w:r w:rsidR="00E0256E">
        <w:rPr>
          <w:color w:val="000000"/>
          <w:shd w:val="clear" w:color="auto" w:fill="FFFFFF"/>
        </w:rPr>
        <w:t>, 2018)</w:t>
      </w:r>
      <w:r w:rsidRPr="00793EE5">
        <w:rPr>
          <w:rFonts w:ascii="Times New Roman" w:hAnsi="Times New Roman" w:cs="Times New Roman"/>
          <w:sz w:val="24"/>
          <w:szCs w:val="24"/>
        </w:rPr>
        <w:t>.</w:t>
      </w:r>
    </w:p>
    <w:p w:rsidR="005B0927" w:rsidRPr="00793EE5" w:rsidRDefault="005B0927" w:rsidP="00CD5709">
      <w:pPr>
        <w:spacing w:line="360" w:lineRule="auto"/>
        <w:jc w:val="both"/>
        <w:rPr>
          <w:rFonts w:ascii="Times New Roman" w:hAnsi="Times New Roman" w:cs="Times New Roman"/>
          <w:sz w:val="24"/>
          <w:szCs w:val="24"/>
        </w:rPr>
      </w:pPr>
      <w:r w:rsidRPr="00793EE5">
        <w:rPr>
          <w:rFonts w:ascii="Times New Roman" w:hAnsi="Times New Roman" w:cs="Times New Roman"/>
          <w:sz w:val="24"/>
          <w:szCs w:val="24"/>
        </w:rPr>
        <w:lastRenderedPageBreak/>
        <w:t>For example, the objective of the Land Acquisition Act of 1925 was to fulfil the desires of the firms and the governments for land needed for their infrastructure. The act also explored the pay reward for those private bodies whose land is so obtained</w:t>
      </w:r>
      <w:r w:rsidR="00E0256E">
        <w:rPr>
          <w:rFonts w:ascii="Times New Roman" w:hAnsi="Times New Roman" w:cs="Times New Roman"/>
          <w:sz w:val="24"/>
          <w:szCs w:val="24"/>
        </w:rPr>
        <w:t xml:space="preserve"> </w:t>
      </w:r>
      <w:r w:rsidR="00E0256E">
        <w:rPr>
          <w:color w:val="000000"/>
          <w:shd w:val="clear" w:color="auto" w:fill="FFFFFF"/>
        </w:rPr>
        <w:t>(Evans, 2025)</w:t>
      </w:r>
      <w:r w:rsidRPr="00793EE5">
        <w:rPr>
          <w:rFonts w:ascii="Times New Roman" w:hAnsi="Times New Roman" w:cs="Times New Roman"/>
          <w:sz w:val="24"/>
          <w:szCs w:val="24"/>
        </w:rPr>
        <w:t>. About the case study, Tina is not restrained by Saskia's commitment to managing the wall. Below the guidance of the Land Acquisition Act 1925, Saskia stays accountable for the maintenance of the wall. Tina can act against Saskia in the care. Saskia is in charge of breach of duty in managing the wall.</w:t>
      </w:r>
      <w:r w:rsidR="00DE2595" w:rsidRPr="00793EE5">
        <w:t xml:space="preserve"> </w:t>
      </w:r>
      <w:r w:rsidR="00DE2595" w:rsidRPr="00793EE5">
        <w:rPr>
          <w:rFonts w:ascii="Times New Roman" w:hAnsi="Times New Roman" w:cs="Times New Roman"/>
          <w:sz w:val="24"/>
          <w:szCs w:val="24"/>
        </w:rPr>
        <w:t>In most jurisdictions, positive covenants are usually not directly obligated against third parties, ensuring that they don’t instinctively refrain from successive property holders if particular processes are utilized to operate with the land.</w:t>
      </w:r>
    </w:p>
    <w:p w:rsidR="009111A1" w:rsidRPr="009111A1" w:rsidRDefault="00321609" w:rsidP="00CD5709">
      <w:pPr>
        <w:pStyle w:val="ListParagraph"/>
        <w:numPr>
          <w:ilvl w:val="1"/>
          <w:numId w:val="11"/>
        </w:numPr>
        <w:spacing w:before="100" w:beforeAutospacing="1" w:after="100" w:afterAutospacing="1" w:line="360" w:lineRule="auto"/>
        <w:outlineLvl w:val="3"/>
        <w:rPr>
          <w:rFonts w:ascii="Times New Roman" w:eastAsia="Times New Roman" w:hAnsi="Times New Roman" w:cs="Times New Roman"/>
          <w:b/>
          <w:bCs/>
          <w:sz w:val="24"/>
          <w:szCs w:val="24"/>
          <w:highlight w:val="yellow"/>
        </w:rPr>
      </w:pPr>
      <w:bookmarkStart w:id="3" w:name="_Hlk189315519"/>
      <w:r w:rsidRPr="00942AD0">
        <w:rPr>
          <w:rFonts w:ascii="Times New Roman" w:eastAsia="Times New Roman" w:hAnsi="Times New Roman" w:cs="Times New Roman"/>
          <w:b/>
          <w:bCs/>
          <w:sz w:val="24"/>
          <w:szCs w:val="24"/>
          <w:highlight w:val="yellow"/>
        </w:rPr>
        <w:t>Non-Traditional Types of Easements (3D1)</w:t>
      </w:r>
    </w:p>
    <w:p w:rsidR="009111A1" w:rsidRPr="009111A1" w:rsidRDefault="009111A1" w:rsidP="00CD5709">
      <w:pPr>
        <w:spacing w:line="360" w:lineRule="auto"/>
        <w:jc w:val="both"/>
        <w:rPr>
          <w:rFonts w:ascii="Times New Roman" w:hAnsi="Times New Roman" w:cs="Times New Roman"/>
          <w:sz w:val="24"/>
          <w:szCs w:val="24"/>
          <w:highlight w:val="yellow"/>
        </w:rPr>
      </w:pPr>
      <w:r w:rsidRPr="009111A1">
        <w:rPr>
          <w:rFonts w:ascii="Times New Roman" w:hAnsi="Times New Roman" w:cs="Times New Roman"/>
          <w:sz w:val="24"/>
          <w:szCs w:val="24"/>
          <w:highlight w:val="yellow"/>
        </w:rPr>
        <w:t xml:space="preserve">Easements in general are legal rights to use or gain access of the servient tenement by the holder of the dominant tenement in a specified way. Consequently, nontraditional easements have been created in response to evolving needs of society and the environment </w:t>
      </w:r>
      <w:r w:rsidRPr="009111A1">
        <w:rPr>
          <w:rFonts w:ascii="Times New Roman" w:hAnsi="Times New Roman" w:cs="Times New Roman"/>
          <w:color w:val="000000"/>
          <w:sz w:val="24"/>
          <w:szCs w:val="24"/>
          <w:highlight w:val="yellow"/>
        </w:rPr>
        <w:t>(</w:t>
      </w:r>
      <w:r w:rsidRPr="009111A1">
        <w:rPr>
          <w:rFonts w:ascii="Times New Roman" w:hAnsi="Times New Roman" w:cs="Times New Roman"/>
          <w:color w:val="222222"/>
          <w:sz w:val="24"/>
          <w:szCs w:val="24"/>
          <w:highlight w:val="yellow"/>
          <w:shd w:val="clear" w:color="auto" w:fill="FFFFFF"/>
        </w:rPr>
        <w:t>Richards, 2021)</w:t>
      </w:r>
      <w:r w:rsidRPr="009111A1">
        <w:rPr>
          <w:rFonts w:ascii="Times New Roman" w:hAnsi="Times New Roman" w:cs="Times New Roman"/>
          <w:sz w:val="24"/>
          <w:szCs w:val="24"/>
          <w:highlight w:val="yellow"/>
        </w:rPr>
        <w:t>. As illustrated by the examples above, nontraditional easements cover an entire range of rights that do not fit in the classical form of access or enjoyment, but nonetheless, entitle the owner of the freehold to significant legal obligation and benefits.</w:t>
      </w:r>
    </w:p>
    <w:p w:rsidR="009111A1" w:rsidRPr="009111A1" w:rsidRDefault="009111A1" w:rsidP="00CD5709">
      <w:pPr>
        <w:spacing w:line="360" w:lineRule="auto"/>
        <w:jc w:val="both"/>
        <w:rPr>
          <w:rFonts w:ascii="Times New Roman" w:hAnsi="Times New Roman" w:cs="Times New Roman"/>
          <w:sz w:val="24"/>
          <w:szCs w:val="24"/>
          <w:highlight w:val="yellow"/>
        </w:rPr>
      </w:pPr>
      <w:r w:rsidRPr="009111A1">
        <w:rPr>
          <w:rFonts w:ascii="Times New Roman" w:hAnsi="Times New Roman" w:cs="Times New Roman"/>
          <w:sz w:val="24"/>
          <w:szCs w:val="24"/>
          <w:highlight w:val="yellow"/>
        </w:rPr>
        <w:t xml:space="preserve">Conservation easements is one such example of something that don’t require ownership of the land in order for it to be protected. More often environmental organizations or government agencies use these easements to insure the future generations having access to land </w:t>
      </w:r>
      <w:r w:rsidRPr="009111A1">
        <w:rPr>
          <w:rFonts w:ascii="Times New Roman" w:hAnsi="Times New Roman" w:cs="Times New Roman"/>
          <w:color w:val="000000"/>
          <w:sz w:val="24"/>
          <w:szCs w:val="24"/>
          <w:highlight w:val="yellow"/>
        </w:rPr>
        <w:t>(</w:t>
      </w:r>
      <w:r w:rsidRPr="009111A1">
        <w:rPr>
          <w:rFonts w:ascii="Times New Roman" w:hAnsi="Times New Roman" w:cs="Times New Roman"/>
          <w:color w:val="222222"/>
          <w:sz w:val="24"/>
          <w:szCs w:val="24"/>
          <w:highlight w:val="yellow"/>
          <w:shd w:val="clear" w:color="auto" w:fill="FFFFFF"/>
        </w:rPr>
        <w:t>ODEKUNLE, 2024)</w:t>
      </w:r>
      <w:r w:rsidRPr="009111A1">
        <w:rPr>
          <w:rFonts w:ascii="Times New Roman" w:hAnsi="Times New Roman" w:cs="Times New Roman"/>
          <w:sz w:val="24"/>
          <w:szCs w:val="24"/>
          <w:highlight w:val="yellow"/>
        </w:rPr>
        <w:t xml:space="preserve">. As an example, consider granting air easement, a right that allows the use of the airspace above a property in order to, in this example, allow someone to fly or constructed structures within the air above a servient tenement would be one example </w:t>
      </w:r>
      <w:r w:rsidRPr="009111A1">
        <w:rPr>
          <w:rFonts w:ascii="Times New Roman" w:hAnsi="Times New Roman" w:cs="Times New Roman"/>
          <w:color w:val="000000"/>
          <w:sz w:val="24"/>
          <w:szCs w:val="24"/>
          <w:highlight w:val="yellow"/>
          <w:shd w:val="clear" w:color="auto" w:fill="FFFFFF"/>
        </w:rPr>
        <w:t>(Evans, 2025)</w:t>
      </w:r>
      <w:r w:rsidRPr="009111A1">
        <w:rPr>
          <w:rFonts w:ascii="Times New Roman" w:hAnsi="Times New Roman" w:cs="Times New Roman"/>
          <w:sz w:val="24"/>
          <w:szCs w:val="24"/>
          <w:highlight w:val="yellow"/>
        </w:rPr>
        <w:t xml:space="preserve">. There is another type of nontraditional easement, which prescriptive easement is, which is created through continuous and uninterrupted use of land by the user, without the landowner’s permission. Under the Prescription Act 1832 a party can acquire the right to use another’s land in terms of </w:t>
      </w:r>
      <w:proofErr w:type="gramStart"/>
      <w:r w:rsidRPr="009111A1">
        <w:rPr>
          <w:rFonts w:ascii="Times New Roman" w:hAnsi="Times New Roman" w:cs="Times New Roman"/>
          <w:sz w:val="24"/>
          <w:szCs w:val="24"/>
          <w:highlight w:val="yellow"/>
        </w:rPr>
        <w:t>long standing</w:t>
      </w:r>
      <w:proofErr w:type="gramEnd"/>
      <w:r w:rsidRPr="009111A1">
        <w:rPr>
          <w:rFonts w:ascii="Times New Roman" w:hAnsi="Times New Roman" w:cs="Times New Roman"/>
          <w:sz w:val="24"/>
          <w:szCs w:val="24"/>
          <w:highlight w:val="yellow"/>
        </w:rPr>
        <w:t xml:space="preserve"> use subject to certain legal conditions </w:t>
      </w:r>
      <w:r w:rsidRPr="009111A1">
        <w:rPr>
          <w:rFonts w:ascii="Times New Roman" w:hAnsi="Times New Roman" w:cs="Times New Roman"/>
          <w:color w:val="000000"/>
          <w:sz w:val="24"/>
          <w:szCs w:val="24"/>
          <w:highlight w:val="yellow"/>
          <w:shd w:val="clear" w:color="auto" w:fill="FFFFFF"/>
        </w:rPr>
        <w:t>(Parliament.uk, 2025).</w:t>
      </w:r>
    </w:p>
    <w:p w:rsidR="009111A1" w:rsidRPr="009111A1" w:rsidRDefault="009111A1" w:rsidP="00CD5709">
      <w:pPr>
        <w:spacing w:line="360" w:lineRule="auto"/>
        <w:jc w:val="both"/>
        <w:rPr>
          <w:rFonts w:ascii="Times New Roman" w:hAnsi="Times New Roman" w:cs="Times New Roman"/>
          <w:sz w:val="24"/>
          <w:szCs w:val="24"/>
        </w:rPr>
      </w:pPr>
      <w:r w:rsidRPr="009111A1">
        <w:rPr>
          <w:rFonts w:ascii="Times New Roman" w:hAnsi="Times New Roman" w:cs="Times New Roman"/>
          <w:sz w:val="24"/>
          <w:szCs w:val="24"/>
          <w:highlight w:val="yellow"/>
        </w:rPr>
        <w:t>Nontraditional easements are a practical concept which encompass a wide variety of situations where rights to land or air are conveyed or acquired for purposes other than those of traditional access and use of the land, due to changing needs of the law and the environment.</w:t>
      </w:r>
    </w:p>
    <w:bookmarkEnd w:id="3"/>
    <w:p w:rsidR="00321609" w:rsidRPr="00793EE5" w:rsidRDefault="00321609" w:rsidP="00CD5709">
      <w:pPr>
        <w:pStyle w:val="ListParagraph"/>
        <w:numPr>
          <w:ilvl w:val="1"/>
          <w:numId w:val="11"/>
        </w:numPr>
        <w:spacing w:before="100" w:beforeAutospacing="1" w:after="100" w:afterAutospacing="1" w:line="360" w:lineRule="auto"/>
        <w:jc w:val="both"/>
        <w:outlineLvl w:val="3"/>
        <w:rPr>
          <w:rFonts w:ascii="Times New Roman" w:eastAsia="Times New Roman" w:hAnsi="Times New Roman" w:cs="Times New Roman"/>
          <w:b/>
          <w:bCs/>
          <w:sz w:val="24"/>
          <w:szCs w:val="24"/>
        </w:rPr>
      </w:pPr>
      <w:r w:rsidRPr="00793EE5">
        <w:rPr>
          <w:rFonts w:ascii="Times New Roman" w:eastAsia="Times New Roman" w:hAnsi="Times New Roman" w:cs="Times New Roman"/>
          <w:b/>
          <w:bCs/>
          <w:sz w:val="24"/>
          <w:szCs w:val="24"/>
        </w:rPr>
        <w:lastRenderedPageBreak/>
        <w:t>Justification for Acquiring Land Under Adverse Possession (5D1)</w:t>
      </w:r>
    </w:p>
    <w:p w:rsidR="00CB37FD" w:rsidRPr="00793EE5" w:rsidRDefault="00CB37FD" w:rsidP="00CD5709">
      <w:pPr>
        <w:spacing w:line="360" w:lineRule="auto"/>
        <w:jc w:val="both"/>
        <w:rPr>
          <w:rFonts w:ascii="Times New Roman" w:hAnsi="Times New Roman" w:cs="Times New Roman"/>
          <w:sz w:val="24"/>
          <w:szCs w:val="24"/>
        </w:rPr>
      </w:pPr>
      <w:r w:rsidRPr="00793EE5">
        <w:rPr>
          <w:rFonts w:ascii="Times New Roman" w:hAnsi="Times New Roman" w:cs="Times New Roman"/>
          <w:sz w:val="24"/>
          <w:szCs w:val="24"/>
        </w:rPr>
        <w:t>The justification for acquiring Land under the adverse possession, meanwhile purposing to support legal specifications and motivate energetic land usage, is frequently disapproved for feasibly allowing land robbery, disowning the rights of the holders, and developing unreliability within the property subjects, especially when the original holder is not informed of the claim of the adverse possession, constructing it a disputed legal conviction with substantial ethical considerations</w:t>
      </w:r>
      <w:r w:rsidR="00E0256E">
        <w:rPr>
          <w:rFonts w:ascii="Times New Roman" w:hAnsi="Times New Roman" w:cs="Times New Roman"/>
          <w:sz w:val="24"/>
          <w:szCs w:val="24"/>
        </w:rPr>
        <w:t xml:space="preserve"> </w:t>
      </w:r>
      <w:r w:rsidR="00E0256E">
        <w:rPr>
          <w:color w:val="000000"/>
        </w:rPr>
        <w:t>‌(</w:t>
      </w:r>
      <w:r w:rsidR="00E0256E">
        <w:rPr>
          <w:rFonts w:ascii="Arial" w:hAnsi="Arial" w:cs="Arial"/>
          <w:color w:val="222222"/>
          <w:sz w:val="20"/>
          <w:szCs w:val="20"/>
          <w:shd w:val="clear" w:color="auto" w:fill="FFFFFF"/>
        </w:rPr>
        <w:t>Richards, 2021)</w:t>
      </w:r>
      <w:r w:rsidRPr="00793EE5">
        <w:rPr>
          <w:rFonts w:ascii="Times New Roman" w:hAnsi="Times New Roman" w:cs="Times New Roman"/>
          <w:sz w:val="24"/>
          <w:szCs w:val="24"/>
        </w:rPr>
        <w:t>. The condition is unique for such people whose Land is acquired by someone else without the land owner's consent. The legislation around adverse possession is complex, leading to conflicts and unreliability. It can become complicated to show all the factors needed</w:t>
      </w:r>
      <w:r w:rsidR="00E0256E">
        <w:rPr>
          <w:rFonts w:ascii="Times New Roman" w:hAnsi="Times New Roman" w:cs="Times New Roman"/>
          <w:sz w:val="24"/>
          <w:szCs w:val="24"/>
        </w:rPr>
        <w:t xml:space="preserve"> </w:t>
      </w:r>
      <w:r w:rsidR="00E0256E">
        <w:rPr>
          <w:color w:val="000000"/>
          <w:shd w:val="clear" w:color="auto" w:fill="FFFFFF"/>
        </w:rPr>
        <w:t>(</w:t>
      </w:r>
      <w:proofErr w:type="spellStart"/>
      <w:r w:rsidR="00E0256E">
        <w:rPr>
          <w:color w:val="000000"/>
          <w:shd w:val="clear" w:color="auto" w:fill="FFFFFF"/>
        </w:rPr>
        <w:t>vLex</w:t>
      </w:r>
      <w:proofErr w:type="spellEnd"/>
      <w:r w:rsidR="00E0256E">
        <w:rPr>
          <w:color w:val="000000"/>
          <w:shd w:val="clear" w:color="auto" w:fill="FFFFFF"/>
        </w:rPr>
        <w:t>, 2018)</w:t>
      </w:r>
      <w:r w:rsidRPr="00793EE5">
        <w:rPr>
          <w:rFonts w:ascii="Times New Roman" w:hAnsi="Times New Roman" w:cs="Times New Roman"/>
          <w:sz w:val="24"/>
          <w:szCs w:val="24"/>
        </w:rPr>
        <w:t xml:space="preserve">. In relation to the case study, Terrence has no potential to declare any adverse possession. Terrence's starting position resides with permission from Saskia, which stops Terrence's ownership from being adversely possessed. For example, JA </w:t>
      </w:r>
      <w:proofErr w:type="spellStart"/>
      <w:r w:rsidRPr="00793EE5">
        <w:rPr>
          <w:rFonts w:ascii="Times New Roman" w:hAnsi="Times New Roman" w:cs="Times New Roman"/>
          <w:sz w:val="24"/>
          <w:szCs w:val="24"/>
        </w:rPr>
        <w:t>Pye</w:t>
      </w:r>
      <w:proofErr w:type="spellEnd"/>
      <w:r w:rsidRPr="00793EE5">
        <w:rPr>
          <w:rFonts w:ascii="Times New Roman" w:hAnsi="Times New Roman" w:cs="Times New Roman"/>
          <w:sz w:val="24"/>
          <w:szCs w:val="24"/>
        </w:rPr>
        <w:t xml:space="preserve"> (Oxford) Ltd v the UK 429 estimates that once the Land has gone under the ownership of the intruder for 12 years, the original holder's claim of action against the individual is secured, and the original holder subject is doused</w:t>
      </w:r>
      <w:r w:rsidR="00E0256E">
        <w:rPr>
          <w:rFonts w:ascii="Times New Roman" w:hAnsi="Times New Roman" w:cs="Times New Roman"/>
          <w:sz w:val="24"/>
          <w:szCs w:val="24"/>
        </w:rPr>
        <w:t xml:space="preserve"> </w:t>
      </w:r>
      <w:r w:rsidR="00E0256E">
        <w:rPr>
          <w:color w:val="000000"/>
          <w:shd w:val="clear" w:color="auto" w:fill="FFFFFF"/>
        </w:rPr>
        <w:t>(Parliament.uk, 2025)</w:t>
      </w:r>
      <w:r w:rsidRPr="00793EE5">
        <w:rPr>
          <w:rFonts w:ascii="Times New Roman" w:hAnsi="Times New Roman" w:cs="Times New Roman"/>
          <w:sz w:val="24"/>
          <w:szCs w:val="24"/>
        </w:rPr>
        <w:t>. The measures of adverse possession are essential to explore the conflicts.</w:t>
      </w:r>
    </w:p>
    <w:p w:rsidR="00321609" w:rsidRDefault="00321609" w:rsidP="00CD5709">
      <w:pPr>
        <w:spacing w:before="100" w:beforeAutospacing="1" w:after="100" w:afterAutospacing="1" w:line="360" w:lineRule="auto"/>
        <w:jc w:val="both"/>
        <w:outlineLvl w:val="2"/>
        <w:rPr>
          <w:rFonts w:ascii="Times New Roman" w:eastAsia="Times New Roman" w:hAnsi="Times New Roman" w:cs="Times New Roman"/>
          <w:b/>
          <w:bCs/>
          <w:sz w:val="27"/>
          <w:szCs w:val="27"/>
        </w:rPr>
      </w:pPr>
      <w:r w:rsidRPr="00793EE5">
        <w:rPr>
          <w:rFonts w:ascii="Times New Roman" w:eastAsia="Times New Roman" w:hAnsi="Times New Roman" w:cs="Times New Roman"/>
          <w:b/>
          <w:bCs/>
          <w:sz w:val="27"/>
          <w:szCs w:val="27"/>
        </w:rPr>
        <w:t>Conclusion</w:t>
      </w:r>
    </w:p>
    <w:p w:rsidR="006B604D" w:rsidRPr="006B604D" w:rsidRDefault="006B604D" w:rsidP="00CD5709">
      <w:pPr>
        <w:spacing w:line="360" w:lineRule="auto"/>
        <w:jc w:val="both"/>
        <w:rPr>
          <w:rFonts w:ascii="Times New Roman" w:hAnsi="Times New Roman" w:cs="Times New Roman"/>
          <w:sz w:val="24"/>
          <w:szCs w:val="24"/>
        </w:rPr>
      </w:pPr>
      <w:r w:rsidRPr="006B604D">
        <w:rPr>
          <w:rFonts w:ascii="Times New Roman" w:hAnsi="Times New Roman" w:cs="Times New Roman"/>
          <w:sz w:val="24"/>
          <w:szCs w:val="24"/>
        </w:rPr>
        <w:t>The case study discovered legal conflicts or disputes, such as easements and rights, positive covenants, and adverse possession. These are significant to evaluate in relation to property law. Summarizing the case study, Saskia has the right to interact with Terrence and Naseem. The case of Tina was more complicated about the wall maintenance, but the positive covenant doesn’t obligate Tina. Adverse possession and easements are necessary to examine these legal issues.</w:t>
      </w:r>
    </w:p>
    <w:p w:rsidR="00565B7E" w:rsidRDefault="00565B7E" w:rsidP="003E1F31">
      <w:pPr>
        <w:spacing w:before="100" w:beforeAutospacing="1" w:after="100" w:afterAutospacing="1" w:line="240" w:lineRule="auto"/>
        <w:rPr>
          <w:rFonts w:ascii="Times New Roman" w:eastAsia="Times New Roman" w:hAnsi="Times New Roman" w:cs="Times New Roman"/>
          <w:b/>
          <w:sz w:val="24"/>
          <w:szCs w:val="24"/>
        </w:rPr>
      </w:pPr>
    </w:p>
    <w:p w:rsidR="002A574A" w:rsidRDefault="00565B7E" w:rsidP="00565B7E">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r w:rsidR="00953846" w:rsidRPr="00953846">
        <w:rPr>
          <w:rFonts w:ascii="Times New Roman" w:eastAsia="Times New Roman" w:hAnsi="Times New Roman" w:cs="Times New Roman"/>
          <w:b/>
          <w:sz w:val="24"/>
          <w:szCs w:val="24"/>
        </w:rPr>
        <w:lastRenderedPageBreak/>
        <w:t>References</w:t>
      </w:r>
    </w:p>
    <w:p w:rsidR="00953846" w:rsidRPr="00953846" w:rsidRDefault="00953846" w:rsidP="00953846">
      <w:pPr>
        <w:spacing w:before="100" w:beforeAutospacing="1" w:after="100" w:afterAutospacing="1" w:line="240" w:lineRule="auto"/>
        <w:jc w:val="center"/>
        <w:rPr>
          <w:rFonts w:ascii="Times New Roman" w:eastAsia="Times New Roman" w:hAnsi="Times New Roman" w:cs="Times New Roman"/>
          <w:b/>
          <w:sz w:val="24"/>
          <w:szCs w:val="24"/>
        </w:rPr>
      </w:pPr>
    </w:p>
    <w:p w:rsidR="00B074B8" w:rsidRPr="00B074B8" w:rsidRDefault="00B074B8" w:rsidP="00B074B8">
      <w:pPr>
        <w:spacing w:line="360" w:lineRule="auto"/>
        <w:ind w:left="720" w:hanging="720"/>
        <w:jc w:val="both"/>
        <w:rPr>
          <w:rFonts w:ascii="Times New Roman" w:hAnsi="Times New Roman" w:cs="Times New Roman"/>
          <w:sz w:val="24"/>
          <w:szCs w:val="24"/>
        </w:rPr>
      </w:pPr>
      <w:proofErr w:type="spellStart"/>
      <w:r w:rsidRPr="00B074B8">
        <w:rPr>
          <w:rFonts w:ascii="Times New Roman" w:hAnsi="Times New Roman" w:cs="Times New Roman"/>
          <w:color w:val="222222"/>
          <w:sz w:val="24"/>
          <w:szCs w:val="24"/>
          <w:shd w:val="clear" w:color="auto" w:fill="FFFFFF"/>
        </w:rPr>
        <w:t>Armour</w:t>
      </w:r>
      <w:proofErr w:type="spellEnd"/>
      <w:r w:rsidRPr="00B074B8">
        <w:rPr>
          <w:rFonts w:ascii="Times New Roman" w:hAnsi="Times New Roman" w:cs="Times New Roman"/>
          <w:color w:val="222222"/>
          <w:sz w:val="24"/>
          <w:szCs w:val="24"/>
          <w:shd w:val="clear" w:color="auto" w:fill="FFFFFF"/>
        </w:rPr>
        <w:t xml:space="preserve">, J., Cheffins, B.R. and </w:t>
      </w:r>
      <w:proofErr w:type="spellStart"/>
      <w:r w:rsidRPr="00B074B8">
        <w:rPr>
          <w:rFonts w:ascii="Times New Roman" w:hAnsi="Times New Roman" w:cs="Times New Roman"/>
          <w:color w:val="222222"/>
          <w:sz w:val="24"/>
          <w:szCs w:val="24"/>
          <w:shd w:val="clear" w:color="auto" w:fill="FFFFFF"/>
        </w:rPr>
        <w:t>Skeel</w:t>
      </w:r>
      <w:proofErr w:type="spellEnd"/>
      <w:r w:rsidRPr="00B074B8">
        <w:rPr>
          <w:rFonts w:ascii="Times New Roman" w:hAnsi="Times New Roman" w:cs="Times New Roman"/>
          <w:color w:val="222222"/>
          <w:sz w:val="24"/>
          <w:szCs w:val="24"/>
          <w:shd w:val="clear" w:color="auto" w:fill="FFFFFF"/>
        </w:rPr>
        <w:t>, D.A., 2002. </w:t>
      </w:r>
      <w:r w:rsidRPr="00B074B8">
        <w:rPr>
          <w:rFonts w:ascii="Times New Roman" w:hAnsi="Times New Roman" w:cs="Times New Roman"/>
          <w:i/>
          <w:iCs/>
          <w:color w:val="222222"/>
          <w:sz w:val="24"/>
          <w:szCs w:val="24"/>
          <w:shd w:val="clear" w:color="auto" w:fill="FFFFFF"/>
        </w:rPr>
        <w:t>Corporate Ownership Structure and the Evolution of Bankruptcy Law in the US and UK</w:t>
      </w:r>
      <w:r w:rsidRPr="00B074B8">
        <w:rPr>
          <w:rFonts w:ascii="Times New Roman" w:hAnsi="Times New Roman" w:cs="Times New Roman"/>
          <w:color w:val="222222"/>
          <w:sz w:val="24"/>
          <w:szCs w:val="24"/>
          <w:shd w:val="clear" w:color="auto" w:fill="FFFFFF"/>
        </w:rPr>
        <w:t>. ESRC Centre for Business Research, University of Cambridge.</w:t>
      </w:r>
    </w:p>
    <w:p w:rsidR="00B074B8" w:rsidRPr="00B074B8" w:rsidRDefault="00B074B8" w:rsidP="00B074B8">
      <w:pPr>
        <w:spacing w:line="360" w:lineRule="auto"/>
        <w:ind w:left="720" w:hanging="720"/>
        <w:jc w:val="both"/>
        <w:rPr>
          <w:rFonts w:ascii="Times New Roman" w:hAnsi="Times New Roman" w:cs="Times New Roman"/>
          <w:sz w:val="24"/>
          <w:szCs w:val="24"/>
          <w:shd w:val="clear" w:color="auto" w:fill="FFFFFF"/>
        </w:rPr>
      </w:pPr>
      <w:r w:rsidRPr="00B074B8">
        <w:rPr>
          <w:rFonts w:ascii="Times New Roman" w:hAnsi="Times New Roman" w:cs="Times New Roman"/>
          <w:sz w:val="24"/>
          <w:szCs w:val="24"/>
          <w:shd w:val="clear" w:color="auto" w:fill="FFFFFF"/>
        </w:rPr>
        <w:t>Ball, V.L., 2021. Protecting Property Through Tort: The Implications of Using Tort Law to Protect ‘Property Interests’ in English Common Law (Doctoral dissertation, University of Leicester).</w:t>
      </w:r>
    </w:p>
    <w:p w:rsidR="00B074B8" w:rsidRPr="00B074B8" w:rsidRDefault="00B074B8" w:rsidP="00B074B8">
      <w:pPr>
        <w:spacing w:line="360" w:lineRule="auto"/>
        <w:ind w:left="720" w:hanging="720"/>
        <w:jc w:val="both"/>
        <w:rPr>
          <w:rFonts w:ascii="Times New Roman" w:hAnsi="Times New Roman" w:cs="Times New Roman"/>
          <w:sz w:val="24"/>
          <w:szCs w:val="24"/>
          <w:shd w:val="clear" w:color="auto" w:fill="FFFFFF"/>
        </w:rPr>
      </w:pPr>
      <w:r w:rsidRPr="00B074B8">
        <w:rPr>
          <w:rFonts w:ascii="Times New Roman" w:hAnsi="Times New Roman" w:cs="Times New Roman"/>
          <w:sz w:val="24"/>
          <w:szCs w:val="24"/>
          <w:shd w:val="clear" w:color="auto" w:fill="FFFFFF"/>
        </w:rPr>
        <w:t>Barnard, A. and Woodburn, J., 2024. Property, power and ideology in hunter-gathering societies: an introduction. In Hunters and Gatherers (Vol II) (pp. 4-31). Routledge.</w:t>
      </w:r>
    </w:p>
    <w:p w:rsidR="00B074B8" w:rsidRPr="00B074B8" w:rsidRDefault="00B074B8" w:rsidP="00B074B8">
      <w:pPr>
        <w:spacing w:line="360" w:lineRule="auto"/>
        <w:ind w:left="720" w:hanging="720"/>
        <w:jc w:val="both"/>
        <w:rPr>
          <w:rFonts w:ascii="Times New Roman" w:hAnsi="Times New Roman" w:cs="Times New Roman"/>
          <w:color w:val="222222"/>
          <w:sz w:val="24"/>
          <w:szCs w:val="24"/>
          <w:shd w:val="clear" w:color="auto" w:fill="FFFFFF"/>
        </w:rPr>
      </w:pPr>
      <w:r w:rsidRPr="00B074B8">
        <w:rPr>
          <w:rFonts w:ascii="Times New Roman" w:hAnsi="Times New Roman" w:cs="Times New Roman"/>
          <w:color w:val="222222"/>
          <w:sz w:val="24"/>
          <w:szCs w:val="24"/>
          <w:shd w:val="clear" w:color="auto" w:fill="FFFFFF"/>
        </w:rPr>
        <w:t>Bevan, C., 2024. </w:t>
      </w:r>
      <w:r w:rsidRPr="00B074B8">
        <w:rPr>
          <w:rFonts w:ascii="Times New Roman" w:hAnsi="Times New Roman" w:cs="Times New Roman"/>
          <w:i/>
          <w:iCs/>
          <w:color w:val="222222"/>
          <w:sz w:val="24"/>
          <w:szCs w:val="24"/>
          <w:shd w:val="clear" w:color="auto" w:fill="FFFFFF"/>
        </w:rPr>
        <w:t>Land Law</w:t>
      </w:r>
      <w:r w:rsidRPr="00B074B8">
        <w:rPr>
          <w:rFonts w:ascii="Times New Roman" w:hAnsi="Times New Roman" w:cs="Times New Roman"/>
          <w:color w:val="222222"/>
          <w:sz w:val="24"/>
          <w:szCs w:val="24"/>
          <w:shd w:val="clear" w:color="auto" w:fill="FFFFFF"/>
        </w:rPr>
        <w:t>. Oxford University Press.</w:t>
      </w:r>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proofErr w:type="spellStart"/>
      <w:r w:rsidRPr="00B074B8">
        <w:rPr>
          <w:rFonts w:ascii="Times New Roman" w:hAnsi="Times New Roman" w:cs="Times New Roman"/>
          <w:sz w:val="24"/>
          <w:szCs w:val="24"/>
          <w:shd w:val="clear" w:color="auto" w:fill="FFFFFF"/>
        </w:rPr>
        <w:t>Boge</w:t>
      </w:r>
      <w:proofErr w:type="spellEnd"/>
      <w:r w:rsidRPr="00B074B8">
        <w:rPr>
          <w:rFonts w:ascii="Times New Roman" w:hAnsi="Times New Roman" w:cs="Times New Roman"/>
          <w:sz w:val="24"/>
          <w:szCs w:val="24"/>
          <w:shd w:val="clear" w:color="auto" w:fill="FFFFFF"/>
        </w:rPr>
        <w:t>, C., 2024. The Concept of the Possession of the Land. Available at SSRN 4919613.</w:t>
      </w:r>
    </w:p>
    <w:p w:rsidR="00B074B8" w:rsidRPr="00B074B8" w:rsidRDefault="00B074B8" w:rsidP="00B074B8">
      <w:pPr>
        <w:spacing w:line="360" w:lineRule="auto"/>
        <w:ind w:left="720" w:hanging="720"/>
        <w:jc w:val="both"/>
        <w:rPr>
          <w:rFonts w:ascii="Times New Roman" w:hAnsi="Times New Roman" w:cs="Times New Roman"/>
          <w:sz w:val="24"/>
          <w:szCs w:val="24"/>
          <w:shd w:val="clear" w:color="auto" w:fill="FFFFFF"/>
        </w:rPr>
      </w:pPr>
      <w:r w:rsidRPr="00B074B8">
        <w:rPr>
          <w:rFonts w:ascii="Times New Roman" w:hAnsi="Times New Roman" w:cs="Times New Roman"/>
          <w:sz w:val="24"/>
          <w:szCs w:val="24"/>
          <w:shd w:val="clear" w:color="auto" w:fill="FFFFFF"/>
        </w:rPr>
        <w:t>Dixon, M., 2021. English land law. In Architect's Legal Handbook (pp. 33-44). Routledge.</w:t>
      </w:r>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color w:val="000000"/>
          <w:sz w:val="24"/>
          <w:szCs w:val="24"/>
        </w:rPr>
        <w:t xml:space="preserve">Duckworth, N. and Chambers (2016). Nathaniel Duckworth Restrictive Covenants and Injunctions: 1 How to understand the former and avoid the latter Restrictive Covenants and Injunctions: How to understand the former and avoid the latter. [online] Available at: </w:t>
      </w:r>
      <w:hyperlink r:id="rId5" w:history="1">
        <w:r w:rsidRPr="00B074B8">
          <w:rPr>
            <w:rStyle w:val="Hyperlink"/>
            <w:rFonts w:ascii="Times New Roman" w:hAnsi="Times New Roman" w:cs="Times New Roman"/>
            <w:sz w:val="24"/>
            <w:szCs w:val="24"/>
          </w:rPr>
          <w:t>https://www.falcon-chambers.com/images/uploads/articles/NJD_Restrictive_Covenants__Injunctions_05.16_.pdf</w:t>
        </w:r>
      </w:hyperlink>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color w:val="000000"/>
          <w:sz w:val="24"/>
          <w:szCs w:val="24"/>
        </w:rPr>
        <w:t xml:space="preserve">Evans, G. (2025). Available at: </w:t>
      </w:r>
      <w:hyperlink r:id="rId6" w:history="1">
        <w:r w:rsidRPr="00B074B8">
          <w:rPr>
            <w:rStyle w:val="Hyperlink"/>
            <w:rFonts w:ascii="Times New Roman" w:hAnsi="Times New Roman" w:cs="Times New Roman"/>
            <w:sz w:val="24"/>
            <w:szCs w:val="24"/>
          </w:rPr>
          <w:t>https://digestiblenotes.com/law/land/passing_burden_covenant.php</w:t>
        </w:r>
      </w:hyperlink>
    </w:p>
    <w:p w:rsidR="00B074B8" w:rsidRPr="00B074B8" w:rsidRDefault="00B074B8" w:rsidP="00B074B8">
      <w:pPr>
        <w:spacing w:line="360" w:lineRule="auto"/>
        <w:ind w:left="720" w:hanging="720"/>
        <w:jc w:val="both"/>
        <w:rPr>
          <w:rFonts w:ascii="Times New Roman" w:hAnsi="Times New Roman" w:cs="Times New Roman"/>
          <w:sz w:val="24"/>
          <w:szCs w:val="24"/>
        </w:rPr>
      </w:pPr>
      <w:proofErr w:type="spellStart"/>
      <w:r w:rsidRPr="00B074B8">
        <w:rPr>
          <w:rFonts w:ascii="Times New Roman" w:hAnsi="Times New Roman" w:cs="Times New Roman"/>
          <w:color w:val="222222"/>
          <w:sz w:val="24"/>
          <w:szCs w:val="24"/>
          <w:shd w:val="clear" w:color="auto" w:fill="FFFFFF"/>
        </w:rPr>
        <w:t>Gilgoff</w:t>
      </w:r>
      <w:proofErr w:type="spellEnd"/>
      <w:r w:rsidRPr="00B074B8">
        <w:rPr>
          <w:rFonts w:ascii="Times New Roman" w:hAnsi="Times New Roman" w:cs="Times New Roman"/>
          <w:color w:val="222222"/>
          <w:sz w:val="24"/>
          <w:szCs w:val="24"/>
          <w:shd w:val="clear" w:color="auto" w:fill="FFFFFF"/>
        </w:rPr>
        <w:t>, J., 2021. Land Redistribution in the Aftermath of the COVID-19 Pandemic. </w:t>
      </w:r>
      <w:r w:rsidRPr="00B074B8">
        <w:rPr>
          <w:rFonts w:ascii="Times New Roman" w:hAnsi="Times New Roman" w:cs="Times New Roman"/>
          <w:i/>
          <w:iCs/>
          <w:color w:val="222222"/>
          <w:sz w:val="24"/>
          <w:szCs w:val="24"/>
          <w:shd w:val="clear" w:color="auto" w:fill="FFFFFF"/>
        </w:rPr>
        <w:t>Wayne L. Rev.</w:t>
      </w:r>
      <w:r w:rsidRPr="00B074B8">
        <w:rPr>
          <w:rFonts w:ascii="Times New Roman" w:hAnsi="Times New Roman" w:cs="Times New Roman"/>
          <w:color w:val="222222"/>
          <w:sz w:val="24"/>
          <w:szCs w:val="24"/>
          <w:shd w:val="clear" w:color="auto" w:fill="FFFFFF"/>
        </w:rPr>
        <w:t>, </w:t>
      </w:r>
      <w:r w:rsidRPr="00B074B8">
        <w:rPr>
          <w:rFonts w:ascii="Times New Roman" w:hAnsi="Times New Roman" w:cs="Times New Roman"/>
          <w:i/>
          <w:iCs/>
          <w:color w:val="222222"/>
          <w:sz w:val="24"/>
          <w:szCs w:val="24"/>
          <w:shd w:val="clear" w:color="auto" w:fill="FFFFFF"/>
        </w:rPr>
        <w:t>67</w:t>
      </w:r>
      <w:r w:rsidRPr="00B074B8">
        <w:rPr>
          <w:rFonts w:ascii="Times New Roman" w:hAnsi="Times New Roman" w:cs="Times New Roman"/>
          <w:color w:val="222222"/>
          <w:sz w:val="24"/>
          <w:szCs w:val="24"/>
          <w:shd w:val="clear" w:color="auto" w:fill="FFFFFF"/>
        </w:rPr>
        <w:t>, p.211.</w:t>
      </w:r>
    </w:p>
    <w:p w:rsidR="00B074B8" w:rsidRPr="00B074B8" w:rsidRDefault="00B074B8" w:rsidP="00B074B8">
      <w:pPr>
        <w:spacing w:line="360" w:lineRule="auto"/>
        <w:ind w:left="720" w:hanging="720"/>
        <w:jc w:val="both"/>
        <w:rPr>
          <w:rFonts w:ascii="Times New Roman" w:hAnsi="Times New Roman" w:cs="Times New Roman"/>
          <w:sz w:val="24"/>
          <w:szCs w:val="24"/>
          <w:shd w:val="clear" w:color="auto" w:fill="FFFFFF"/>
        </w:rPr>
      </w:pPr>
      <w:r w:rsidRPr="00B074B8">
        <w:rPr>
          <w:rFonts w:ascii="Times New Roman" w:hAnsi="Times New Roman" w:cs="Times New Roman"/>
          <w:sz w:val="24"/>
          <w:szCs w:val="24"/>
          <w:shd w:val="clear" w:color="auto" w:fill="FFFFFF"/>
        </w:rPr>
        <w:t xml:space="preserve">Grigg, B. and </w:t>
      </w:r>
      <w:proofErr w:type="spellStart"/>
      <w:r w:rsidRPr="00B074B8">
        <w:rPr>
          <w:rFonts w:ascii="Times New Roman" w:hAnsi="Times New Roman" w:cs="Times New Roman"/>
          <w:sz w:val="24"/>
          <w:szCs w:val="24"/>
          <w:shd w:val="clear" w:color="auto" w:fill="FFFFFF"/>
        </w:rPr>
        <w:t>Esmaeili</w:t>
      </w:r>
      <w:proofErr w:type="spellEnd"/>
      <w:r w:rsidRPr="00B074B8">
        <w:rPr>
          <w:rFonts w:ascii="Times New Roman" w:hAnsi="Times New Roman" w:cs="Times New Roman"/>
          <w:sz w:val="24"/>
          <w:szCs w:val="24"/>
          <w:shd w:val="clear" w:color="auto" w:fill="FFFFFF"/>
        </w:rPr>
        <w:t>, H., 2023. Protecting a view in Australia: Common law principles, restrictive covenants and planning law. </w:t>
      </w:r>
      <w:proofErr w:type="spellStart"/>
      <w:r w:rsidRPr="00B074B8">
        <w:rPr>
          <w:rFonts w:ascii="Times New Roman" w:hAnsi="Times New Roman" w:cs="Times New Roman"/>
          <w:sz w:val="24"/>
          <w:szCs w:val="24"/>
          <w:shd w:val="clear" w:color="auto" w:fill="FFFFFF"/>
        </w:rPr>
        <w:t>TheUniversity</w:t>
      </w:r>
      <w:proofErr w:type="spellEnd"/>
      <w:r w:rsidRPr="00B074B8">
        <w:rPr>
          <w:rFonts w:ascii="Times New Roman" w:hAnsi="Times New Roman" w:cs="Times New Roman"/>
          <w:sz w:val="24"/>
          <w:szCs w:val="24"/>
          <w:shd w:val="clear" w:color="auto" w:fill="FFFFFF"/>
        </w:rPr>
        <w:t xml:space="preserve"> of New South Wales Law Journal, 46(1), pp.235-267.</w:t>
      </w:r>
    </w:p>
    <w:p w:rsidR="00B074B8" w:rsidRPr="00B074B8" w:rsidRDefault="00B074B8" w:rsidP="00B074B8">
      <w:pPr>
        <w:spacing w:line="360" w:lineRule="auto"/>
        <w:ind w:left="720" w:hanging="720"/>
        <w:jc w:val="both"/>
        <w:rPr>
          <w:rFonts w:ascii="Times New Roman" w:hAnsi="Times New Roman" w:cs="Times New Roman"/>
          <w:sz w:val="24"/>
          <w:szCs w:val="24"/>
          <w:shd w:val="clear" w:color="auto" w:fill="FFFFFF"/>
        </w:rPr>
      </w:pPr>
      <w:r w:rsidRPr="00B074B8">
        <w:rPr>
          <w:rFonts w:ascii="Times New Roman" w:hAnsi="Times New Roman" w:cs="Times New Roman"/>
          <w:sz w:val="24"/>
          <w:szCs w:val="24"/>
          <w:shd w:val="clear" w:color="auto" w:fill="FFFFFF"/>
        </w:rPr>
        <w:lastRenderedPageBreak/>
        <w:t xml:space="preserve">Grigg, B. and </w:t>
      </w:r>
      <w:proofErr w:type="spellStart"/>
      <w:r w:rsidRPr="00B074B8">
        <w:rPr>
          <w:rFonts w:ascii="Times New Roman" w:hAnsi="Times New Roman" w:cs="Times New Roman"/>
          <w:sz w:val="24"/>
          <w:szCs w:val="24"/>
          <w:shd w:val="clear" w:color="auto" w:fill="FFFFFF"/>
        </w:rPr>
        <w:t>Esmaeili</w:t>
      </w:r>
      <w:proofErr w:type="spellEnd"/>
      <w:r w:rsidRPr="00B074B8">
        <w:rPr>
          <w:rFonts w:ascii="Times New Roman" w:hAnsi="Times New Roman" w:cs="Times New Roman"/>
          <w:sz w:val="24"/>
          <w:szCs w:val="24"/>
          <w:shd w:val="clear" w:color="auto" w:fill="FFFFFF"/>
        </w:rPr>
        <w:t>, H., 2023. Protecting a view in Australia: Common law principles, restrictive covenants and planning law. </w:t>
      </w:r>
      <w:proofErr w:type="spellStart"/>
      <w:r w:rsidRPr="00B074B8">
        <w:rPr>
          <w:rFonts w:ascii="Times New Roman" w:hAnsi="Times New Roman" w:cs="Times New Roman"/>
          <w:sz w:val="24"/>
          <w:szCs w:val="24"/>
          <w:shd w:val="clear" w:color="auto" w:fill="FFFFFF"/>
        </w:rPr>
        <w:t>TheUniversity</w:t>
      </w:r>
      <w:proofErr w:type="spellEnd"/>
      <w:r w:rsidRPr="00B074B8">
        <w:rPr>
          <w:rFonts w:ascii="Times New Roman" w:hAnsi="Times New Roman" w:cs="Times New Roman"/>
          <w:sz w:val="24"/>
          <w:szCs w:val="24"/>
          <w:shd w:val="clear" w:color="auto" w:fill="FFFFFF"/>
        </w:rPr>
        <w:t xml:space="preserve"> of New South Wales Law Journal, 46(1), pp.235-267.</w:t>
      </w:r>
    </w:p>
    <w:p w:rsidR="00B074B8" w:rsidRPr="00B074B8" w:rsidRDefault="00B074B8" w:rsidP="00B074B8">
      <w:pPr>
        <w:spacing w:line="360" w:lineRule="auto"/>
        <w:ind w:left="720" w:hanging="720"/>
        <w:jc w:val="both"/>
        <w:rPr>
          <w:rFonts w:ascii="Times New Roman" w:hAnsi="Times New Roman" w:cs="Times New Roman"/>
          <w:sz w:val="24"/>
          <w:szCs w:val="24"/>
        </w:rPr>
      </w:pPr>
      <w:r w:rsidRPr="00B074B8">
        <w:rPr>
          <w:rFonts w:ascii="Times New Roman" w:hAnsi="Times New Roman" w:cs="Times New Roman"/>
          <w:color w:val="222222"/>
          <w:sz w:val="24"/>
          <w:szCs w:val="24"/>
          <w:shd w:val="clear" w:color="auto" w:fill="FFFFFF"/>
        </w:rPr>
        <w:t xml:space="preserve">Grigg, B. and </w:t>
      </w:r>
      <w:proofErr w:type="spellStart"/>
      <w:r w:rsidRPr="00B074B8">
        <w:rPr>
          <w:rFonts w:ascii="Times New Roman" w:hAnsi="Times New Roman" w:cs="Times New Roman"/>
          <w:color w:val="222222"/>
          <w:sz w:val="24"/>
          <w:szCs w:val="24"/>
          <w:shd w:val="clear" w:color="auto" w:fill="FFFFFF"/>
        </w:rPr>
        <w:t>Esmaeili</w:t>
      </w:r>
      <w:proofErr w:type="spellEnd"/>
      <w:r w:rsidRPr="00B074B8">
        <w:rPr>
          <w:rFonts w:ascii="Times New Roman" w:hAnsi="Times New Roman" w:cs="Times New Roman"/>
          <w:color w:val="222222"/>
          <w:sz w:val="24"/>
          <w:szCs w:val="24"/>
          <w:shd w:val="clear" w:color="auto" w:fill="FFFFFF"/>
        </w:rPr>
        <w:t>, H., 2023. Protecting a view in Australia: Common law principles, restrictive covenants and planning law. </w:t>
      </w:r>
      <w:proofErr w:type="spellStart"/>
      <w:r w:rsidRPr="00B074B8">
        <w:rPr>
          <w:rFonts w:ascii="Times New Roman" w:hAnsi="Times New Roman" w:cs="Times New Roman"/>
          <w:color w:val="222222"/>
          <w:sz w:val="24"/>
          <w:szCs w:val="24"/>
          <w:shd w:val="clear" w:color="auto" w:fill="FFFFFF"/>
        </w:rPr>
        <w:t>TheUniversity</w:t>
      </w:r>
      <w:proofErr w:type="spellEnd"/>
      <w:r w:rsidRPr="00B074B8">
        <w:rPr>
          <w:rFonts w:ascii="Times New Roman" w:hAnsi="Times New Roman" w:cs="Times New Roman"/>
          <w:color w:val="222222"/>
          <w:sz w:val="24"/>
          <w:szCs w:val="24"/>
          <w:shd w:val="clear" w:color="auto" w:fill="FFFFFF"/>
        </w:rPr>
        <w:t xml:space="preserve"> of New South Wales Law Journal, 46(1), pp.235-267.</w:t>
      </w:r>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proofErr w:type="spellStart"/>
      <w:r w:rsidRPr="00B074B8">
        <w:rPr>
          <w:rFonts w:ascii="Times New Roman" w:hAnsi="Times New Roman" w:cs="Times New Roman"/>
          <w:color w:val="000000"/>
          <w:sz w:val="24"/>
          <w:szCs w:val="24"/>
        </w:rPr>
        <w:t>Ignachkov</w:t>
      </w:r>
      <w:proofErr w:type="spellEnd"/>
      <w:r w:rsidRPr="00B074B8">
        <w:rPr>
          <w:rFonts w:ascii="Times New Roman" w:hAnsi="Times New Roman" w:cs="Times New Roman"/>
          <w:color w:val="000000"/>
          <w:sz w:val="24"/>
          <w:szCs w:val="24"/>
        </w:rPr>
        <w:t xml:space="preserve">, B. (2023). Case Summary: Southwark LBC v Mills [2001] 1 A.C. 1. [online] Careerinlaw.net | UK. Available at: </w:t>
      </w:r>
      <w:hyperlink r:id="rId7" w:history="1">
        <w:r w:rsidRPr="00B074B8">
          <w:rPr>
            <w:rStyle w:val="Hyperlink"/>
            <w:rFonts w:ascii="Times New Roman" w:hAnsi="Times New Roman" w:cs="Times New Roman"/>
            <w:sz w:val="24"/>
            <w:szCs w:val="24"/>
          </w:rPr>
          <w:t>https://careerinlaw.net/uk/case-summary-southwark-lbc-v-mills-2001-1-a-c-1</w:t>
        </w:r>
      </w:hyperlink>
    </w:p>
    <w:p w:rsidR="00B074B8" w:rsidRPr="00B074B8" w:rsidRDefault="00B074B8" w:rsidP="00B074B8">
      <w:pPr>
        <w:spacing w:line="360" w:lineRule="auto"/>
        <w:ind w:left="720" w:hanging="720"/>
        <w:jc w:val="both"/>
        <w:rPr>
          <w:rFonts w:ascii="Times New Roman" w:hAnsi="Times New Roman" w:cs="Times New Roman"/>
          <w:color w:val="222222"/>
          <w:sz w:val="24"/>
          <w:szCs w:val="24"/>
          <w:shd w:val="clear" w:color="auto" w:fill="FFFFFF"/>
        </w:rPr>
      </w:pPr>
      <w:r w:rsidRPr="00B074B8">
        <w:rPr>
          <w:rFonts w:ascii="Times New Roman" w:hAnsi="Times New Roman" w:cs="Times New Roman"/>
          <w:color w:val="222222"/>
          <w:sz w:val="24"/>
          <w:szCs w:val="24"/>
          <w:shd w:val="clear" w:color="auto" w:fill="FFFFFF"/>
        </w:rPr>
        <w:t>Joshua, B., 2022. LAW&amp;ARTS.</w:t>
      </w:r>
    </w:p>
    <w:p w:rsidR="00B074B8" w:rsidRPr="00B074B8" w:rsidRDefault="00B074B8" w:rsidP="00B074B8">
      <w:pPr>
        <w:spacing w:line="360" w:lineRule="auto"/>
        <w:ind w:left="720" w:hanging="720"/>
        <w:jc w:val="both"/>
        <w:rPr>
          <w:rFonts w:ascii="Times New Roman" w:hAnsi="Times New Roman" w:cs="Times New Roman"/>
          <w:sz w:val="24"/>
          <w:szCs w:val="24"/>
        </w:rPr>
      </w:pPr>
      <w:r w:rsidRPr="00B074B8">
        <w:rPr>
          <w:rFonts w:ascii="Times New Roman" w:hAnsi="Times New Roman" w:cs="Times New Roman"/>
          <w:sz w:val="24"/>
          <w:szCs w:val="24"/>
          <w:shd w:val="clear" w:color="auto" w:fill="FFFFFF"/>
        </w:rPr>
        <w:t>Nair, A., 2023. Textbook on land law. Oxford University Press.</w:t>
      </w:r>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sz w:val="24"/>
          <w:szCs w:val="24"/>
          <w:shd w:val="clear" w:color="auto" w:fill="FFFFFF"/>
        </w:rPr>
        <w:t>ODEKUNLE, I., 2024. A REVIEW OF THE EXISTING KNOWLEDGE ON ADVERSE POSSESSION OF REGISTERED LAND. AFRICAN CUSTOMARY AND RELIGIOUS LAW REVIEW, 5.</w:t>
      </w:r>
    </w:p>
    <w:p w:rsidR="00B074B8" w:rsidRPr="00B074B8" w:rsidRDefault="00B074B8" w:rsidP="00B074B8">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B074B8">
        <w:rPr>
          <w:rFonts w:ascii="Times New Roman" w:hAnsi="Times New Roman" w:cs="Times New Roman"/>
          <w:color w:val="222222"/>
          <w:sz w:val="24"/>
          <w:szCs w:val="24"/>
          <w:shd w:val="clear" w:color="auto" w:fill="FFFFFF"/>
        </w:rPr>
        <w:t>Onyeabor</w:t>
      </w:r>
      <w:proofErr w:type="spellEnd"/>
      <w:r w:rsidRPr="00B074B8">
        <w:rPr>
          <w:rFonts w:ascii="Times New Roman" w:hAnsi="Times New Roman" w:cs="Times New Roman"/>
          <w:color w:val="222222"/>
          <w:sz w:val="24"/>
          <w:szCs w:val="24"/>
          <w:shd w:val="clear" w:color="auto" w:fill="FFFFFF"/>
        </w:rPr>
        <w:t>, E., 2024. Liabilities and Compensation for Environmental Damage Under International Law. In </w:t>
      </w:r>
      <w:r w:rsidRPr="00B074B8">
        <w:rPr>
          <w:rFonts w:ascii="Times New Roman" w:hAnsi="Times New Roman" w:cs="Times New Roman"/>
          <w:i/>
          <w:iCs/>
          <w:color w:val="222222"/>
          <w:sz w:val="24"/>
          <w:szCs w:val="24"/>
          <w:shd w:val="clear" w:color="auto" w:fill="FFFFFF"/>
        </w:rPr>
        <w:t>Environmental Law: International and Regional African Perspectives on Law and Management</w:t>
      </w:r>
      <w:r w:rsidRPr="00B074B8">
        <w:rPr>
          <w:rFonts w:ascii="Times New Roman" w:hAnsi="Times New Roman" w:cs="Times New Roman"/>
          <w:color w:val="222222"/>
          <w:sz w:val="24"/>
          <w:szCs w:val="24"/>
          <w:shd w:val="clear" w:color="auto" w:fill="FFFFFF"/>
        </w:rPr>
        <w:t> (pp. 527-614). Cham: Springer Nature Switzerland.</w:t>
      </w:r>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color w:val="000000"/>
          <w:sz w:val="24"/>
          <w:szCs w:val="24"/>
        </w:rPr>
        <w:t xml:space="preserve">Parliament.uk. (2025). House of Lords - J A </w:t>
      </w:r>
      <w:proofErr w:type="spellStart"/>
      <w:r w:rsidRPr="00B074B8">
        <w:rPr>
          <w:rFonts w:ascii="Times New Roman" w:hAnsi="Times New Roman" w:cs="Times New Roman"/>
          <w:color w:val="000000"/>
          <w:sz w:val="24"/>
          <w:szCs w:val="24"/>
        </w:rPr>
        <w:t>Pye</w:t>
      </w:r>
      <w:proofErr w:type="spellEnd"/>
      <w:r w:rsidRPr="00B074B8">
        <w:rPr>
          <w:rFonts w:ascii="Times New Roman" w:hAnsi="Times New Roman" w:cs="Times New Roman"/>
          <w:color w:val="000000"/>
          <w:sz w:val="24"/>
          <w:szCs w:val="24"/>
        </w:rPr>
        <w:t xml:space="preserve"> (Oxford) Ltd and Others v Graham and Another On 4 July 2002. [online] Available at: </w:t>
      </w:r>
      <w:hyperlink r:id="rId8" w:history="1">
        <w:r w:rsidRPr="00B074B8">
          <w:rPr>
            <w:rStyle w:val="Hyperlink"/>
            <w:rFonts w:ascii="Times New Roman" w:hAnsi="Times New Roman" w:cs="Times New Roman"/>
            <w:sz w:val="24"/>
            <w:szCs w:val="24"/>
          </w:rPr>
          <w:t>https://publications.parliament.uk/pa/ld200102/ldjudgmt/jd020704/graham-2.htm</w:t>
        </w:r>
      </w:hyperlink>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color w:val="000000"/>
          <w:sz w:val="24"/>
          <w:szCs w:val="24"/>
        </w:rPr>
        <w:t xml:space="preserve">Property Law. (n.d.). Available at: </w:t>
      </w:r>
      <w:hyperlink r:id="rId9" w:history="1">
        <w:r w:rsidRPr="00B074B8">
          <w:rPr>
            <w:rStyle w:val="Hyperlink"/>
            <w:rFonts w:ascii="Times New Roman" w:hAnsi="Times New Roman" w:cs="Times New Roman"/>
            <w:sz w:val="24"/>
            <w:szCs w:val="24"/>
          </w:rPr>
          <w:t>https://assets.cambridge.org/97805216/14894/frontmatter/9780521614894_frontmatter.pdf</w:t>
        </w:r>
      </w:hyperlink>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color w:val="000000"/>
          <w:sz w:val="24"/>
          <w:szCs w:val="24"/>
        </w:rPr>
        <w:t xml:space="preserve">Report by the British Institute of International and Comparative Law for Her Majesty’s Court Service ADVERSE POSSESSION. (2006). Available at: </w:t>
      </w:r>
      <w:hyperlink r:id="rId10" w:history="1">
        <w:r w:rsidRPr="00B074B8">
          <w:rPr>
            <w:rStyle w:val="Hyperlink"/>
            <w:rFonts w:ascii="Times New Roman" w:hAnsi="Times New Roman" w:cs="Times New Roman"/>
            <w:sz w:val="24"/>
            <w:szCs w:val="24"/>
          </w:rPr>
          <w:t>https://www.biicl.org/files/2350_advposs_sep_ftnsv3.pdf</w:t>
        </w:r>
      </w:hyperlink>
      <w:r w:rsidRPr="00B074B8">
        <w:rPr>
          <w:rFonts w:ascii="Times New Roman" w:hAnsi="Times New Roman" w:cs="Times New Roman"/>
          <w:color w:val="000000"/>
          <w:sz w:val="24"/>
          <w:szCs w:val="24"/>
        </w:rPr>
        <w:t>.</w:t>
      </w:r>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sz w:val="24"/>
          <w:szCs w:val="24"/>
          <w:shd w:val="clear" w:color="auto" w:fill="FFFFFF"/>
        </w:rPr>
        <w:t>Richards, M., 2021. Property Law. Oxford University Press.</w:t>
      </w:r>
    </w:p>
    <w:p w:rsidR="00B074B8" w:rsidRPr="00B074B8" w:rsidRDefault="00B074B8" w:rsidP="00B074B8">
      <w:pPr>
        <w:spacing w:line="360" w:lineRule="auto"/>
        <w:ind w:left="720" w:hanging="720"/>
        <w:jc w:val="both"/>
        <w:rPr>
          <w:rFonts w:ascii="Times New Roman" w:hAnsi="Times New Roman" w:cs="Times New Roman"/>
          <w:sz w:val="24"/>
          <w:szCs w:val="24"/>
        </w:rPr>
      </w:pPr>
      <w:r w:rsidRPr="00B074B8">
        <w:rPr>
          <w:rFonts w:ascii="Times New Roman" w:hAnsi="Times New Roman" w:cs="Times New Roman"/>
          <w:color w:val="222222"/>
          <w:sz w:val="24"/>
          <w:szCs w:val="24"/>
          <w:shd w:val="clear" w:color="auto" w:fill="FFFFFF"/>
        </w:rPr>
        <w:lastRenderedPageBreak/>
        <w:t>Sayles, V., 2022. </w:t>
      </w:r>
      <w:r w:rsidRPr="00B074B8">
        <w:rPr>
          <w:rFonts w:ascii="Times New Roman" w:hAnsi="Times New Roman" w:cs="Times New Roman"/>
          <w:i/>
          <w:iCs/>
          <w:color w:val="222222"/>
          <w:sz w:val="24"/>
          <w:szCs w:val="24"/>
          <w:shd w:val="clear" w:color="auto" w:fill="FFFFFF"/>
        </w:rPr>
        <w:t>Land Law Concentrate: Law Revision and Study Guide</w:t>
      </w:r>
      <w:r w:rsidRPr="00B074B8">
        <w:rPr>
          <w:rFonts w:ascii="Times New Roman" w:hAnsi="Times New Roman" w:cs="Times New Roman"/>
          <w:color w:val="222222"/>
          <w:sz w:val="24"/>
          <w:szCs w:val="24"/>
          <w:shd w:val="clear" w:color="auto" w:fill="FFFFFF"/>
        </w:rPr>
        <w:t>. Oxford University Press.</w:t>
      </w:r>
    </w:p>
    <w:p w:rsidR="00B074B8" w:rsidRPr="00B074B8" w:rsidRDefault="00B074B8" w:rsidP="00B074B8">
      <w:pPr>
        <w:spacing w:line="360" w:lineRule="auto"/>
        <w:ind w:left="720" w:hanging="720"/>
        <w:jc w:val="both"/>
        <w:rPr>
          <w:rFonts w:ascii="Times New Roman" w:hAnsi="Times New Roman" w:cs="Times New Roman"/>
          <w:color w:val="222222"/>
          <w:sz w:val="24"/>
          <w:szCs w:val="24"/>
          <w:shd w:val="clear" w:color="auto" w:fill="FFFFFF"/>
        </w:rPr>
      </w:pPr>
      <w:r w:rsidRPr="00B074B8">
        <w:rPr>
          <w:rFonts w:ascii="Times New Roman" w:hAnsi="Times New Roman" w:cs="Times New Roman"/>
          <w:color w:val="222222"/>
          <w:sz w:val="24"/>
          <w:szCs w:val="24"/>
          <w:shd w:val="clear" w:color="auto" w:fill="FFFFFF"/>
        </w:rPr>
        <w:t>Sherry, C., 2021. Private governance of condominium land: Common law versus statute. In Condominium Governance and Law in Global Urban Context (pp. 45-61). Routledge.</w:t>
      </w:r>
    </w:p>
    <w:p w:rsidR="00B074B8" w:rsidRPr="00B074B8" w:rsidRDefault="00B074B8" w:rsidP="00B074B8">
      <w:pPr>
        <w:spacing w:line="360" w:lineRule="auto"/>
        <w:ind w:left="720" w:hanging="720"/>
        <w:jc w:val="both"/>
        <w:rPr>
          <w:rFonts w:ascii="Times New Roman" w:hAnsi="Times New Roman" w:cs="Times New Roman"/>
          <w:color w:val="000000"/>
          <w:sz w:val="24"/>
          <w:szCs w:val="24"/>
        </w:rPr>
      </w:pPr>
      <w:r w:rsidRPr="00B074B8">
        <w:rPr>
          <w:rFonts w:ascii="Times New Roman" w:hAnsi="Times New Roman" w:cs="Times New Roman"/>
          <w:color w:val="000000"/>
          <w:sz w:val="24"/>
          <w:szCs w:val="24"/>
        </w:rPr>
        <w:t xml:space="preserve">Uniset.ca. (2025). Twycross v. Grant. [online] Available at: </w:t>
      </w:r>
      <w:hyperlink r:id="rId11" w:history="1">
        <w:r w:rsidRPr="00B074B8">
          <w:rPr>
            <w:rStyle w:val="Hyperlink"/>
            <w:rFonts w:ascii="Times New Roman" w:hAnsi="Times New Roman" w:cs="Times New Roman"/>
            <w:sz w:val="24"/>
            <w:szCs w:val="24"/>
          </w:rPr>
          <w:t>https://www.uniset.ca/other/cs3/2CPD469.html</w:t>
        </w:r>
      </w:hyperlink>
    </w:p>
    <w:p w:rsidR="00B074B8" w:rsidRPr="00B074B8" w:rsidRDefault="00B074B8" w:rsidP="00B074B8">
      <w:pPr>
        <w:spacing w:line="360" w:lineRule="auto"/>
        <w:ind w:left="720" w:hanging="720"/>
        <w:jc w:val="both"/>
        <w:rPr>
          <w:rStyle w:val="Hyperlink"/>
          <w:rFonts w:ascii="Times New Roman" w:hAnsi="Times New Roman" w:cs="Times New Roman"/>
          <w:sz w:val="24"/>
          <w:szCs w:val="24"/>
        </w:rPr>
      </w:pPr>
      <w:proofErr w:type="spellStart"/>
      <w:r w:rsidRPr="00B074B8">
        <w:rPr>
          <w:rFonts w:ascii="Times New Roman" w:hAnsi="Times New Roman" w:cs="Times New Roman"/>
          <w:color w:val="000000"/>
          <w:sz w:val="24"/>
          <w:szCs w:val="24"/>
        </w:rPr>
        <w:t>vLex</w:t>
      </w:r>
      <w:proofErr w:type="spellEnd"/>
      <w:r w:rsidRPr="00B074B8">
        <w:rPr>
          <w:rFonts w:ascii="Times New Roman" w:hAnsi="Times New Roman" w:cs="Times New Roman"/>
          <w:color w:val="000000"/>
          <w:sz w:val="24"/>
          <w:szCs w:val="24"/>
        </w:rPr>
        <w:t xml:space="preserve">. (2018). Buckinghamshire County Council v Moran. [online] Available at: </w:t>
      </w:r>
      <w:hyperlink r:id="rId12" w:history="1">
        <w:r w:rsidRPr="00B074B8">
          <w:rPr>
            <w:rStyle w:val="Hyperlink"/>
            <w:rFonts w:ascii="Times New Roman" w:hAnsi="Times New Roman" w:cs="Times New Roman"/>
            <w:sz w:val="24"/>
            <w:szCs w:val="24"/>
          </w:rPr>
          <w:t>https://vlex.co.uk/vid/buckinghamshire-county-council-v-793758229</w:t>
        </w:r>
      </w:hyperlink>
    </w:p>
    <w:p w:rsidR="00B074B8" w:rsidRPr="00B074B8" w:rsidRDefault="00B074B8" w:rsidP="00B074B8">
      <w:pPr>
        <w:spacing w:line="360" w:lineRule="auto"/>
        <w:ind w:left="720" w:hanging="720"/>
        <w:jc w:val="both"/>
        <w:rPr>
          <w:rFonts w:ascii="Times New Roman" w:hAnsi="Times New Roman" w:cs="Times New Roman"/>
          <w:sz w:val="24"/>
          <w:szCs w:val="24"/>
        </w:rPr>
      </w:pPr>
      <w:r w:rsidRPr="00B074B8">
        <w:rPr>
          <w:rFonts w:ascii="Times New Roman" w:hAnsi="Times New Roman" w:cs="Times New Roman"/>
          <w:color w:val="222222"/>
          <w:sz w:val="24"/>
          <w:szCs w:val="24"/>
          <w:shd w:val="clear" w:color="auto" w:fill="FFFFFF"/>
        </w:rPr>
        <w:t xml:space="preserve">Walsh, R., 2024. Deliberative Property-Managing Complexity in Property Systems. Forthcoming, Oxford Studies in P Miller and J </w:t>
      </w:r>
      <w:proofErr w:type="spellStart"/>
      <w:r w:rsidRPr="00B074B8">
        <w:rPr>
          <w:rFonts w:ascii="Times New Roman" w:hAnsi="Times New Roman" w:cs="Times New Roman"/>
          <w:color w:val="222222"/>
          <w:sz w:val="24"/>
          <w:szCs w:val="24"/>
          <w:shd w:val="clear" w:color="auto" w:fill="FFFFFF"/>
        </w:rPr>
        <w:t>Oberdiek</w:t>
      </w:r>
      <w:proofErr w:type="spellEnd"/>
      <w:r w:rsidRPr="00B074B8">
        <w:rPr>
          <w:rFonts w:ascii="Times New Roman" w:hAnsi="Times New Roman" w:cs="Times New Roman"/>
          <w:color w:val="222222"/>
          <w:sz w:val="24"/>
          <w:szCs w:val="24"/>
          <w:shd w:val="clear" w:color="auto" w:fill="FFFFFF"/>
        </w:rPr>
        <w:t xml:space="preserve"> Private Law Theory, 3.</w:t>
      </w:r>
      <w:r w:rsidRPr="00B074B8">
        <w:rPr>
          <w:rFonts w:ascii="Times New Roman" w:hAnsi="Times New Roman" w:cs="Times New Roman"/>
          <w:sz w:val="24"/>
          <w:szCs w:val="24"/>
        </w:rPr>
        <w:t xml:space="preserve"> </w:t>
      </w:r>
    </w:p>
    <w:p w:rsidR="00B074B8" w:rsidRPr="008821B0" w:rsidRDefault="00B074B8" w:rsidP="00B074B8"/>
    <w:p w:rsidR="00B074B8" w:rsidRPr="00565B7E" w:rsidRDefault="00B074B8" w:rsidP="00565B7E">
      <w:pPr>
        <w:spacing w:line="360" w:lineRule="auto"/>
        <w:ind w:left="720" w:hanging="720"/>
        <w:jc w:val="both"/>
        <w:rPr>
          <w:rFonts w:ascii="Times New Roman" w:hAnsi="Times New Roman" w:cs="Times New Roman"/>
          <w:sz w:val="24"/>
          <w:szCs w:val="24"/>
        </w:rPr>
      </w:pPr>
    </w:p>
    <w:p w:rsidR="00953846" w:rsidRPr="002A574A" w:rsidRDefault="00953846" w:rsidP="00B649D5">
      <w:pPr>
        <w:spacing w:before="100" w:beforeAutospacing="1" w:after="100" w:afterAutospacing="1" w:line="240" w:lineRule="auto"/>
        <w:rPr>
          <w:rFonts w:ascii="Times New Roman" w:eastAsia="Times New Roman" w:hAnsi="Times New Roman" w:cs="Times New Roman"/>
          <w:sz w:val="24"/>
          <w:szCs w:val="24"/>
        </w:rPr>
      </w:pPr>
    </w:p>
    <w:sectPr w:rsidR="00953846" w:rsidRPr="002A57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0661F"/>
    <w:multiLevelType w:val="multilevel"/>
    <w:tmpl w:val="09B01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96000"/>
    <w:multiLevelType w:val="multilevel"/>
    <w:tmpl w:val="6B680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0170D"/>
    <w:multiLevelType w:val="multilevel"/>
    <w:tmpl w:val="FE9441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37300D"/>
    <w:multiLevelType w:val="multilevel"/>
    <w:tmpl w:val="5F44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DD6CC2"/>
    <w:multiLevelType w:val="multilevel"/>
    <w:tmpl w:val="1932E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E12684"/>
    <w:multiLevelType w:val="multilevel"/>
    <w:tmpl w:val="93C0A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EB42ED"/>
    <w:multiLevelType w:val="multilevel"/>
    <w:tmpl w:val="713A5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8E3031"/>
    <w:multiLevelType w:val="multilevel"/>
    <w:tmpl w:val="00AC0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A16B20"/>
    <w:multiLevelType w:val="multilevel"/>
    <w:tmpl w:val="123E2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687F62"/>
    <w:multiLevelType w:val="multilevel"/>
    <w:tmpl w:val="572CCF0C"/>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35C3840"/>
    <w:multiLevelType w:val="multilevel"/>
    <w:tmpl w:val="5D202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B735AA"/>
    <w:multiLevelType w:val="multilevel"/>
    <w:tmpl w:val="D8060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162928"/>
    <w:multiLevelType w:val="multilevel"/>
    <w:tmpl w:val="2696B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087FAE"/>
    <w:multiLevelType w:val="multilevel"/>
    <w:tmpl w:val="3B42D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B17192"/>
    <w:multiLevelType w:val="multilevel"/>
    <w:tmpl w:val="81CE5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3"/>
  </w:num>
  <w:num w:numId="3">
    <w:abstractNumId w:val="4"/>
  </w:num>
  <w:num w:numId="4">
    <w:abstractNumId w:val="0"/>
  </w:num>
  <w:num w:numId="5">
    <w:abstractNumId w:val="3"/>
  </w:num>
  <w:num w:numId="6">
    <w:abstractNumId w:val="12"/>
  </w:num>
  <w:num w:numId="7">
    <w:abstractNumId w:val="10"/>
  </w:num>
  <w:num w:numId="8">
    <w:abstractNumId w:val="5"/>
  </w:num>
  <w:num w:numId="9">
    <w:abstractNumId w:val="14"/>
  </w:num>
  <w:num w:numId="10">
    <w:abstractNumId w:val="2"/>
  </w:num>
  <w:num w:numId="11">
    <w:abstractNumId w:val="9"/>
  </w:num>
  <w:num w:numId="12">
    <w:abstractNumId w:val="1"/>
  </w:num>
  <w:num w:numId="13">
    <w:abstractNumId w:val="7"/>
  </w:num>
  <w:num w:numId="14">
    <w:abstractNumId w:val="8"/>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C94"/>
    <w:rsid w:val="00054593"/>
    <w:rsid w:val="00070A87"/>
    <w:rsid w:val="0011749E"/>
    <w:rsid w:val="002450DF"/>
    <w:rsid w:val="002A2469"/>
    <w:rsid w:val="002A574A"/>
    <w:rsid w:val="00321609"/>
    <w:rsid w:val="003D69B8"/>
    <w:rsid w:val="003E1F31"/>
    <w:rsid w:val="003F42CA"/>
    <w:rsid w:val="00423C94"/>
    <w:rsid w:val="004357EA"/>
    <w:rsid w:val="00491569"/>
    <w:rsid w:val="004F0EFF"/>
    <w:rsid w:val="004F32AD"/>
    <w:rsid w:val="004F5258"/>
    <w:rsid w:val="00565B7E"/>
    <w:rsid w:val="00590115"/>
    <w:rsid w:val="005A2BC9"/>
    <w:rsid w:val="005B0927"/>
    <w:rsid w:val="005D134A"/>
    <w:rsid w:val="005D53D0"/>
    <w:rsid w:val="00610388"/>
    <w:rsid w:val="00617132"/>
    <w:rsid w:val="006B604D"/>
    <w:rsid w:val="006E0961"/>
    <w:rsid w:val="007020B1"/>
    <w:rsid w:val="00793EE5"/>
    <w:rsid w:val="00887D4A"/>
    <w:rsid w:val="008E1AB1"/>
    <w:rsid w:val="009111A1"/>
    <w:rsid w:val="00942AD0"/>
    <w:rsid w:val="00953846"/>
    <w:rsid w:val="00A67C2B"/>
    <w:rsid w:val="00A96C91"/>
    <w:rsid w:val="00B074B8"/>
    <w:rsid w:val="00B649D5"/>
    <w:rsid w:val="00C56405"/>
    <w:rsid w:val="00CB37FD"/>
    <w:rsid w:val="00CD5709"/>
    <w:rsid w:val="00CF4DA3"/>
    <w:rsid w:val="00D021EC"/>
    <w:rsid w:val="00D128A1"/>
    <w:rsid w:val="00D130B7"/>
    <w:rsid w:val="00D700DD"/>
    <w:rsid w:val="00DE2595"/>
    <w:rsid w:val="00E0256E"/>
    <w:rsid w:val="00E613CA"/>
    <w:rsid w:val="00E82F99"/>
    <w:rsid w:val="00E946A0"/>
    <w:rsid w:val="00EF1951"/>
    <w:rsid w:val="00FC36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AA66B"/>
  <w15:chartTrackingRefBased/>
  <w15:docId w15:val="{9FF2D58A-67CB-4327-B106-E1F4E9382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11749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11749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1749E"/>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11749E"/>
    <w:rPr>
      <w:rFonts w:ascii="Times New Roman" w:eastAsia="Times New Roman" w:hAnsi="Times New Roman" w:cs="Times New Roman"/>
      <w:b/>
      <w:bCs/>
      <w:sz w:val="24"/>
      <w:szCs w:val="24"/>
    </w:rPr>
  </w:style>
  <w:style w:type="character" w:styleId="Strong">
    <w:name w:val="Strong"/>
    <w:basedOn w:val="DefaultParagraphFont"/>
    <w:uiPriority w:val="22"/>
    <w:qFormat/>
    <w:rsid w:val="0011749E"/>
    <w:rPr>
      <w:b/>
      <w:bCs/>
    </w:rPr>
  </w:style>
  <w:style w:type="paragraph" w:styleId="NormalWeb">
    <w:name w:val="Normal (Web)"/>
    <w:basedOn w:val="Normal"/>
    <w:uiPriority w:val="99"/>
    <w:unhideWhenUsed/>
    <w:rsid w:val="00E613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verflow-hidden">
    <w:name w:val="overflow-hidden"/>
    <w:basedOn w:val="DefaultParagraphFont"/>
    <w:rsid w:val="00E613CA"/>
  </w:style>
  <w:style w:type="paragraph" w:styleId="ListParagraph">
    <w:name w:val="List Paragraph"/>
    <w:basedOn w:val="Normal"/>
    <w:uiPriority w:val="34"/>
    <w:qFormat/>
    <w:rsid w:val="00B649D5"/>
    <w:pPr>
      <w:ind w:left="720"/>
      <w:contextualSpacing/>
    </w:pPr>
  </w:style>
  <w:style w:type="character" w:styleId="Hyperlink">
    <w:name w:val="Hyperlink"/>
    <w:basedOn w:val="DefaultParagraphFont"/>
    <w:uiPriority w:val="99"/>
    <w:unhideWhenUsed/>
    <w:rsid w:val="009538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9213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tions.parliament.uk/pa/ld200102/ldjudgmt/jd020704/graham-2.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reerinlaw.net/uk/case-summary-southwark-lbc-v-mills-2001-1-a-c-1" TargetMode="External"/><Relationship Id="rId12" Type="http://schemas.openxmlformats.org/officeDocument/2006/relationships/hyperlink" Target="https://vlex.co.uk/vid/buckinghamshire-county-council-v-79375822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gestiblenotes.com/law/land/passing_burden_covenant.php" TargetMode="External"/><Relationship Id="rId11" Type="http://schemas.openxmlformats.org/officeDocument/2006/relationships/hyperlink" Target="https://www.uniset.ca/other/cs3/2CPD469.html" TargetMode="External"/><Relationship Id="rId5" Type="http://schemas.openxmlformats.org/officeDocument/2006/relationships/hyperlink" Target="https://www.falcon-chambers.com/images/uploads/articles/NJD_Restrictive_Covenants__Injunctions_05.16_.pdf" TargetMode="External"/><Relationship Id="rId10" Type="http://schemas.openxmlformats.org/officeDocument/2006/relationships/hyperlink" Target="https://www.biicl.org/files/2350_advposs_sep_ftnsv3.pdf" TargetMode="External"/><Relationship Id="rId4" Type="http://schemas.openxmlformats.org/officeDocument/2006/relationships/webSettings" Target="webSettings.xml"/><Relationship Id="rId9" Type="http://schemas.openxmlformats.org/officeDocument/2006/relationships/hyperlink" Target="https://assets.cambridge.org/97805216/14894/frontmatter/9780521614894_frontmatter.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12</Pages>
  <Words>3481</Words>
  <Characters>19846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19</cp:revision>
  <dcterms:created xsi:type="dcterms:W3CDTF">2025-01-29T12:54:00Z</dcterms:created>
  <dcterms:modified xsi:type="dcterms:W3CDTF">2025-02-06T06:53:00Z</dcterms:modified>
</cp:coreProperties>
</file>